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F5" w:rsidRPr="00E977B4" w:rsidRDefault="00C80E91" w:rsidP="009467A0">
      <w:pPr>
        <w:spacing w:before="120"/>
        <w:jc w:val="center"/>
        <w:rPr>
          <w:rFonts w:asciiTheme="minorHAnsi" w:hAnsiTheme="minorHAnsi"/>
          <w:b/>
          <w:lang w:val="en-US"/>
        </w:rPr>
      </w:pPr>
      <w:bookmarkStart w:id="0" w:name="_GoBack"/>
      <w:bookmarkEnd w:id="0"/>
      <w:r>
        <w:rPr>
          <w:rFonts w:asciiTheme="minorHAnsi" w:hAnsiTheme="minorHAnsi"/>
          <w:b/>
          <w:lang w:val="en-US"/>
        </w:rPr>
        <w:t xml:space="preserve">Detailed action plan on the second criterion of the EIA/SEA ex-ante conditionality </w:t>
      </w:r>
    </w:p>
    <w:p w:rsidR="006D5CF2" w:rsidRPr="00E977B4" w:rsidRDefault="006D5CF2">
      <w:pPr>
        <w:rPr>
          <w:rFonts w:asciiTheme="minorHAnsi" w:hAnsiTheme="minorHAnsi"/>
          <w:lang w:val="en-US"/>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954"/>
        <w:gridCol w:w="5547"/>
        <w:gridCol w:w="2410"/>
        <w:gridCol w:w="1417"/>
      </w:tblGrid>
      <w:tr w:rsidR="000D4573" w:rsidRPr="00E977B4" w:rsidTr="00F15BBB">
        <w:trPr>
          <w:cantSplit/>
          <w:tblHeader/>
        </w:trPr>
        <w:tc>
          <w:tcPr>
            <w:tcW w:w="2556" w:type="dxa"/>
            <w:shd w:val="clear" w:color="auto" w:fill="auto"/>
          </w:tcPr>
          <w:p w:rsidR="00F15BBB" w:rsidRPr="00E977B4" w:rsidRDefault="00F15BBB" w:rsidP="00172BE7">
            <w:pPr>
              <w:jc w:val="center"/>
              <w:rPr>
                <w:rFonts w:asciiTheme="minorHAnsi" w:hAnsiTheme="minorHAnsi"/>
                <w:b/>
                <w:noProof w:val="0"/>
                <w:sz w:val="20"/>
                <w:szCs w:val="20"/>
                <w:lang w:val="en-US"/>
              </w:rPr>
            </w:pPr>
            <w:r w:rsidRPr="00E977B4">
              <w:rPr>
                <w:rFonts w:asciiTheme="minorHAnsi" w:hAnsiTheme="minorHAnsi"/>
                <w:b/>
                <w:noProof w:val="0"/>
                <w:sz w:val="20"/>
                <w:szCs w:val="20"/>
                <w:lang w:val="en-US"/>
              </w:rPr>
              <w:t>Conditionality</w:t>
            </w:r>
          </w:p>
        </w:tc>
        <w:tc>
          <w:tcPr>
            <w:tcW w:w="2954" w:type="dxa"/>
            <w:shd w:val="clear" w:color="auto" w:fill="auto"/>
          </w:tcPr>
          <w:p w:rsidR="00F15BBB" w:rsidRPr="00E977B4" w:rsidRDefault="00F15BBB" w:rsidP="00172BE7">
            <w:pPr>
              <w:jc w:val="center"/>
              <w:rPr>
                <w:rFonts w:asciiTheme="minorHAnsi" w:hAnsiTheme="minorHAnsi"/>
                <w:b/>
                <w:noProof w:val="0"/>
                <w:sz w:val="20"/>
                <w:szCs w:val="20"/>
                <w:lang w:val="en-US"/>
              </w:rPr>
            </w:pPr>
            <w:r w:rsidRPr="00E977B4">
              <w:rPr>
                <w:rFonts w:asciiTheme="minorHAnsi" w:hAnsiTheme="minorHAnsi"/>
                <w:b/>
                <w:noProof w:val="0"/>
                <w:sz w:val="20"/>
                <w:szCs w:val="20"/>
                <w:lang w:val="en-US"/>
              </w:rPr>
              <w:t xml:space="preserve">Unfulfilled/partially fulfilled </w:t>
            </w:r>
            <w:r w:rsidR="00B923FA" w:rsidRPr="00E977B4">
              <w:rPr>
                <w:rFonts w:asciiTheme="minorHAnsi" w:hAnsiTheme="minorHAnsi"/>
                <w:b/>
                <w:noProof w:val="0"/>
                <w:sz w:val="20"/>
                <w:szCs w:val="20"/>
                <w:lang w:val="en-US"/>
              </w:rPr>
              <w:t>criteria</w:t>
            </w:r>
          </w:p>
        </w:tc>
        <w:tc>
          <w:tcPr>
            <w:tcW w:w="5547" w:type="dxa"/>
            <w:shd w:val="clear" w:color="auto" w:fill="auto"/>
          </w:tcPr>
          <w:p w:rsidR="00F15BBB" w:rsidRPr="00E977B4" w:rsidRDefault="00F15BBB" w:rsidP="00172BE7">
            <w:pPr>
              <w:jc w:val="center"/>
              <w:rPr>
                <w:rFonts w:asciiTheme="minorHAnsi" w:hAnsiTheme="minorHAnsi"/>
                <w:b/>
                <w:noProof w:val="0"/>
                <w:sz w:val="20"/>
                <w:szCs w:val="20"/>
                <w:lang w:val="en-US"/>
              </w:rPr>
            </w:pPr>
            <w:r w:rsidRPr="00E977B4">
              <w:rPr>
                <w:rFonts w:asciiTheme="minorHAnsi" w:hAnsiTheme="minorHAnsi"/>
                <w:b/>
                <w:noProof w:val="0"/>
                <w:sz w:val="20"/>
                <w:szCs w:val="20"/>
                <w:lang w:val="en-US"/>
              </w:rPr>
              <w:t xml:space="preserve">Actions taken to fulfill the </w:t>
            </w:r>
            <w:r w:rsidR="00B923FA" w:rsidRPr="00E977B4">
              <w:rPr>
                <w:rFonts w:asciiTheme="minorHAnsi" w:hAnsiTheme="minorHAnsi"/>
                <w:b/>
                <w:noProof w:val="0"/>
                <w:sz w:val="20"/>
                <w:szCs w:val="20"/>
                <w:lang w:val="en-US"/>
              </w:rPr>
              <w:t>criteria</w:t>
            </w:r>
          </w:p>
        </w:tc>
        <w:tc>
          <w:tcPr>
            <w:tcW w:w="2410" w:type="dxa"/>
            <w:shd w:val="clear" w:color="auto" w:fill="auto"/>
          </w:tcPr>
          <w:p w:rsidR="00F15BBB" w:rsidRPr="00E977B4" w:rsidRDefault="00F15BBB" w:rsidP="00172BE7">
            <w:pPr>
              <w:jc w:val="center"/>
              <w:rPr>
                <w:rFonts w:asciiTheme="minorHAnsi" w:hAnsiTheme="minorHAnsi"/>
                <w:b/>
                <w:noProof w:val="0"/>
                <w:sz w:val="20"/>
                <w:szCs w:val="20"/>
                <w:lang w:val="en-US"/>
              </w:rPr>
            </w:pPr>
            <w:r w:rsidRPr="00E977B4">
              <w:rPr>
                <w:rFonts w:asciiTheme="minorHAnsi" w:hAnsiTheme="minorHAnsi"/>
                <w:b/>
                <w:noProof w:val="0"/>
                <w:sz w:val="20"/>
                <w:szCs w:val="20"/>
                <w:lang w:val="en-US"/>
              </w:rPr>
              <w:t>Deadlines</w:t>
            </w:r>
          </w:p>
        </w:tc>
        <w:tc>
          <w:tcPr>
            <w:tcW w:w="1417" w:type="dxa"/>
            <w:shd w:val="clear" w:color="auto" w:fill="auto"/>
          </w:tcPr>
          <w:p w:rsidR="00F15BBB" w:rsidRPr="00E977B4" w:rsidRDefault="00F15BBB" w:rsidP="00172BE7">
            <w:pPr>
              <w:jc w:val="center"/>
              <w:rPr>
                <w:rFonts w:asciiTheme="minorHAnsi" w:hAnsiTheme="minorHAnsi"/>
                <w:b/>
                <w:noProof w:val="0"/>
                <w:sz w:val="20"/>
                <w:szCs w:val="20"/>
                <w:lang w:val="en-US"/>
              </w:rPr>
            </w:pPr>
            <w:r w:rsidRPr="00E977B4">
              <w:rPr>
                <w:rFonts w:asciiTheme="minorHAnsi" w:hAnsiTheme="minorHAnsi"/>
                <w:b/>
                <w:noProof w:val="0"/>
                <w:sz w:val="20"/>
                <w:szCs w:val="20"/>
                <w:lang w:val="en-US"/>
              </w:rPr>
              <w:t>Responsible body</w:t>
            </w:r>
          </w:p>
        </w:tc>
      </w:tr>
      <w:tr w:rsidR="000D4573" w:rsidRPr="00E977B4" w:rsidTr="00F15BBB">
        <w:trPr>
          <w:trHeight w:val="2243"/>
        </w:trPr>
        <w:tc>
          <w:tcPr>
            <w:tcW w:w="2556" w:type="dxa"/>
            <w:vMerge w:val="restart"/>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r w:rsidRPr="00E977B4">
              <w:rPr>
                <w:rFonts w:asciiTheme="minorHAnsi" w:hAnsiTheme="minorHAnsi"/>
                <w:noProof w:val="0"/>
                <w:sz w:val="20"/>
                <w:szCs w:val="20"/>
                <w:lang w:val="en-US"/>
              </w:rPr>
              <w:t>6. Environmental legislation relating to Environmental Impact Assessment (EIA) and, Strategic Environmental Assessment (SEA)</w:t>
            </w:r>
          </w:p>
        </w:tc>
        <w:tc>
          <w:tcPr>
            <w:tcW w:w="2954" w:type="dxa"/>
            <w:vMerge w:val="restart"/>
            <w:shd w:val="clear" w:color="auto" w:fill="auto"/>
          </w:tcPr>
          <w:p w:rsidR="00F15BBB" w:rsidRPr="00E977B4" w:rsidRDefault="00F15BBB" w:rsidP="00172BE7">
            <w:pPr>
              <w:numPr>
                <w:ilvl w:val="0"/>
                <w:numId w:val="1"/>
              </w:numPr>
              <w:ind w:left="175" w:hanging="175"/>
              <w:contextualSpacing/>
              <w:jc w:val="both"/>
              <w:rPr>
                <w:rFonts w:asciiTheme="minorHAnsi" w:hAnsiTheme="minorHAnsi"/>
                <w:noProof w:val="0"/>
                <w:sz w:val="20"/>
                <w:szCs w:val="20"/>
                <w:lang w:val="en-US"/>
              </w:rPr>
            </w:pPr>
            <w:r w:rsidRPr="00E977B4">
              <w:rPr>
                <w:rFonts w:asciiTheme="minorHAnsi" w:eastAsia="Calibri" w:hAnsiTheme="minorHAnsi"/>
                <w:noProof w:val="0"/>
                <w:sz w:val="20"/>
                <w:szCs w:val="20"/>
                <w:lang w:val="en-US"/>
              </w:rPr>
              <w:t>Arrangements for training and dissemination of information for staff involved in the implementation of EIA and SEA Directives</w:t>
            </w:r>
          </w:p>
        </w:tc>
        <w:tc>
          <w:tcPr>
            <w:tcW w:w="5547" w:type="dxa"/>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r w:rsidRPr="00E977B4">
              <w:rPr>
                <w:rFonts w:asciiTheme="minorHAnsi" w:hAnsiTheme="minorHAnsi"/>
                <w:b/>
                <w:noProof w:val="0"/>
                <w:sz w:val="20"/>
                <w:szCs w:val="20"/>
                <w:lang w:val="en-US"/>
              </w:rPr>
              <w:t>In 2007</w:t>
            </w:r>
            <w:r w:rsidRPr="00E977B4">
              <w:rPr>
                <w:rFonts w:asciiTheme="minorHAnsi" w:hAnsiTheme="minorHAnsi"/>
                <w:noProof w:val="0"/>
                <w:sz w:val="20"/>
                <w:szCs w:val="20"/>
                <w:lang w:val="en-US"/>
              </w:rPr>
              <w:t xml:space="preserve">, </w:t>
            </w:r>
            <w:r w:rsidRPr="00E977B4">
              <w:rPr>
                <w:rFonts w:asciiTheme="minorHAnsi" w:hAnsiTheme="minorHAnsi"/>
                <w:b/>
                <w:noProof w:val="0"/>
                <w:sz w:val="20"/>
                <w:szCs w:val="20"/>
                <w:lang w:val="en-US"/>
              </w:rPr>
              <w:t>environmental authorities have been trained</w:t>
            </w:r>
            <w:r w:rsidRPr="00E977B4">
              <w:rPr>
                <w:rFonts w:asciiTheme="minorHAnsi" w:hAnsiTheme="minorHAnsi"/>
                <w:noProof w:val="0"/>
                <w:sz w:val="20"/>
                <w:szCs w:val="20"/>
                <w:lang w:val="en-US"/>
              </w:rPr>
              <w:t xml:space="preserve"> both to </w:t>
            </w:r>
            <w:r w:rsidRPr="00E977B4">
              <w:rPr>
                <w:rFonts w:asciiTheme="minorHAnsi" w:hAnsiTheme="minorHAnsi"/>
                <w:b/>
                <w:noProof w:val="0"/>
                <w:sz w:val="20"/>
                <w:szCs w:val="20"/>
                <w:lang w:val="en-US"/>
              </w:rPr>
              <w:t>apply the provisions of EIA/SEA</w:t>
            </w:r>
            <w:r w:rsidRPr="00E977B4">
              <w:rPr>
                <w:rFonts w:asciiTheme="minorHAnsi" w:hAnsiTheme="minorHAnsi"/>
                <w:noProof w:val="0"/>
                <w:sz w:val="20"/>
                <w:szCs w:val="20"/>
                <w:lang w:val="en-US"/>
              </w:rPr>
              <w:t xml:space="preserve"> at the time of their transposition into national legislation and for </w:t>
            </w:r>
            <w:r w:rsidRPr="00E977B4">
              <w:rPr>
                <w:rFonts w:asciiTheme="minorHAnsi" w:hAnsiTheme="minorHAnsi"/>
                <w:b/>
                <w:noProof w:val="0"/>
                <w:sz w:val="20"/>
                <w:szCs w:val="20"/>
                <w:lang w:val="en-US"/>
              </w:rPr>
              <w:t>application of subsequent legislation and guidelines</w:t>
            </w:r>
            <w:r w:rsidRPr="00E977B4">
              <w:rPr>
                <w:rFonts w:asciiTheme="minorHAnsi" w:hAnsiTheme="minorHAnsi"/>
                <w:noProof w:val="0"/>
                <w:sz w:val="20"/>
                <w:szCs w:val="20"/>
                <w:lang w:val="en-US"/>
              </w:rPr>
              <w:t xml:space="preserve"> to ensure correct application of EU law. Also, the environmental authorities were trained to </w:t>
            </w:r>
            <w:r w:rsidRPr="00E977B4">
              <w:rPr>
                <w:rFonts w:asciiTheme="minorHAnsi" w:hAnsiTheme="minorHAnsi"/>
                <w:b/>
                <w:noProof w:val="0"/>
                <w:sz w:val="20"/>
                <w:szCs w:val="20"/>
                <w:lang w:val="en-US"/>
              </w:rPr>
              <w:t xml:space="preserve">apply the guidelines </w:t>
            </w:r>
            <w:r w:rsidRPr="00E977B4">
              <w:rPr>
                <w:rFonts w:asciiTheme="minorHAnsi" w:hAnsiTheme="minorHAnsi"/>
                <w:noProof w:val="0"/>
                <w:sz w:val="20"/>
                <w:szCs w:val="20"/>
                <w:lang w:val="en-US"/>
              </w:rPr>
              <w:t>as follows:</w:t>
            </w:r>
          </w:p>
          <w:p w:rsidR="00F15BBB" w:rsidRPr="00E977B4" w:rsidRDefault="00F15BBB" w:rsidP="006A6265">
            <w:pPr>
              <w:pStyle w:val="ListParagraph"/>
              <w:numPr>
                <w:ilvl w:val="0"/>
                <w:numId w:val="2"/>
              </w:numPr>
              <w:tabs>
                <w:tab w:val="left" w:pos="92"/>
              </w:tabs>
              <w:autoSpaceDE w:val="0"/>
              <w:autoSpaceDN w:val="0"/>
              <w:adjustRightInd w:val="0"/>
              <w:ind w:left="0" w:firstLine="0"/>
              <w:jc w:val="both"/>
              <w:rPr>
                <w:rFonts w:asciiTheme="minorHAnsi" w:hAnsiTheme="minorHAnsi"/>
                <w:noProof w:val="0"/>
                <w:sz w:val="20"/>
                <w:szCs w:val="20"/>
                <w:lang w:val="en-US"/>
              </w:rPr>
            </w:pPr>
            <w:r w:rsidRPr="00E977B4">
              <w:rPr>
                <w:rFonts w:asciiTheme="minorHAnsi" w:hAnsiTheme="minorHAnsi"/>
                <w:b/>
                <w:noProof w:val="0"/>
                <w:sz w:val="20"/>
                <w:szCs w:val="20"/>
                <w:lang w:val="en-US"/>
              </w:rPr>
              <w:t>In 2008</w:t>
            </w:r>
            <w:r w:rsidRPr="00E977B4">
              <w:rPr>
                <w:rFonts w:asciiTheme="minorHAnsi" w:hAnsiTheme="minorHAnsi"/>
                <w:noProof w:val="0"/>
                <w:sz w:val="20"/>
                <w:szCs w:val="20"/>
                <w:lang w:val="en-US"/>
              </w:rPr>
              <w:t xml:space="preserve">,  proper </w:t>
            </w:r>
            <w:r w:rsidRPr="00E977B4">
              <w:rPr>
                <w:rFonts w:asciiTheme="minorHAnsi" w:hAnsiTheme="minorHAnsi"/>
                <w:b/>
                <w:noProof w:val="0"/>
                <w:sz w:val="20"/>
                <w:szCs w:val="20"/>
                <w:lang w:val="en-US"/>
              </w:rPr>
              <w:t>training</w:t>
            </w:r>
            <w:r w:rsidRPr="00E977B4">
              <w:rPr>
                <w:rFonts w:asciiTheme="minorHAnsi" w:hAnsiTheme="minorHAnsi"/>
                <w:noProof w:val="0"/>
                <w:sz w:val="20"/>
                <w:szCs w:val="20"/>
                <w:lang w:val="en-US"/>
              </w:rPr>
              <w:t xml:space="preserve"> of personnel involved in the implementation of the </w:t>
            </w:r>
            <w:r w:rsidRPr="00E977B4">
              <w:rPr>
                <w:rFonts w:asciiTheme="minorHAnsi" w:hAnsiTheme="minorHAnsi"/>
                <w:b/>
                <w:noProof w:val="0"/>
                <w:sz w:val="20"/>
                <w:szCs w:val="20"/>
                <w:lang w:val="en-US"/>
              </w:rPr>
              <w:t>SEA Directive</w:t>
            </w:r>
            <w:r w:rsidRPr="00E977B4">
              <w:rPr>
                <w:rFonts w:asciiTheme="minorHAnsi" w:hAnsiTheme="minorHAnsi"/>
                <w:noProof w:val="0"/>
                <w:sz w:val="20"/>
                <w:szCs w:val="20"/>
                <w:lang w:val="en-US"/>
              </w:rPr>
              <w:t xml:space="preserve"> - for </w:t>
            </w:r>
            <w:r w:rsidRPr="00E977B4">
              <w:rPr>
                <w:rFonts w:asciiTheme="minorHAnsi" w:hAnsiTheme="minorHAnsi"/>
                <w:b/>
                <w:noProof w:val="0"/>
                <w:sz w:val="20"/>
                <w:szCs w:val="20"/>
                <w:lang w:val="en-US"/>
              </w:rPr>
              <w:t>guidelines on energy</w:t>
            </w:r>
            <w:r w:rsidRPr="00E977B4">
              <w:rPr>
                <w:rFonts w:asciiTheme="minorHAnsi" w:hAnsiTheme="minorHAnsi"/>
                <w:noProof w:val="0"/>
                <w:sz w:val="20"/>
                <w:szCs w:val="20"/>
                <w:lang w:val="en-US"/>
              </w:rPr>
              <w:t xml:space="preserve">, </w:t>
            </w:r>
            <w:r w:rsidRPr="00E977B4">
              <w:rPr>
                <w:rFonts w:asciiTheme="minorHAnsi" w:hAnsiTheme="minorHAnsi"/>
                <w:b/>
                <w:noProof w:val="0"/>
                <w:sz w:val="20"/>
                <w:szCs w:val="20"/>
                <w:lang w:val="en-US"/>
              </w:rPr>
              <w:t>industry, spatial and transport plans</w:t>
            </w:r>
            <w:r w:rsidRPr="00E977B4">
              <w:rPr>
                <w:rFonts w:asciiTheme="minorHAnsi" w:hAnsiTheme="minorHAnsi"/>
                <w:noProof w:val="0"/>
                <w:sz w:val="20"/>
                <w:szCs w:val="20"/>
                <w:lang w:val="en-US"/>
              </w:rPr>
              <w:t>, guidelines developed in 2007 through a PHARE project assistance;</w:t>
            </w:r>
          </w:p>
          <w:p w:rsidR="00F15BBB" w:rsidRPr="00E977B4" w:rsidRDefault="00F15BBB" w:rsidP="006A6265">
            <w:pPr>
              <w:pStyle w:val="ListParagraph"/>
              <w:numPr>
                <w:ilvl w:val="0"/>
                <w:numId w:val="2"/>
              </w:numPr>
              <w:tabs>
                <w:tab w:val="left" w:pos="92"/>
              </w:tabs>
              <w:autoSpaceDE w:val="0"/>
              <w:autoSpaceDN w:val="0"/>
              <w:adjustRightInd w:val="0"/>
              <w:ind w:left="0" w:firstLine="0"/>
              <w:jc w:val="both"/>
              <w:rPr>
                <w:rFonts w:asciiTheme="minorHAnsi" w:hAnsiTheme="minorHAnsi"/>
                <w:noProof w:val="0"/>
                <w:sz w:val="20"/>
                <w:szCs w:val="20"/>
                <w:lang w:val="en-US"/>
              </w:rPr>
            </w:pPr>
            <w:r w:rsidRPr="00E977B4">
              <w:rPr>
                <w:rFonts w:asciiTheme="minorHAnsi" w:hAnsiTheme="minorHAnsi"/>
                <w:b/>
                <w:noProof w:val="0"/>
                <w:sz w:val="20"/>
                <w:szCs w:val="20"/>
                <w:lang w:val="en-US"/>
              </w:rPr>
              <w:t xml:space="preserve">In 2010, </w:t>
            </w:r>
            <w:r w:rsidRPr="00E977B4">
              <w:rPr>
                <w:rFonts w:asciiTheme="minorHAnsi" w:hAnsiTheme="minorHAnsi"/>
                <w:noProof w:val="0"/>
                <w:sz w:val="20"/>
                <w:szCs w:val="20"/>
                <w:lang w:val="en-US"/>
              </w:rPr>
              <w:t xml:space="preserve">proper </w:t>
            </w:r>
            <w:r w:rsidRPr="00E977B4">
              <w:rPr>
                <w:rFonts w:asciiTheme="minorHAnsi" w:hAnsiTheme="minorHAnsi"/>
                <w:b/>
                <w:noProof w:val="0"/>
                <w:sz w:val="20"/>
                <w:szCs w:val="20"/>
                <w:lang w:val="en-US"/>
              </w:rPr>
              <w:t>training</w:t>
            </w:r>
            <w:r w:rsidRPr="00E977B4">
              <w:rPr>
                <w:rFonts w:asciiTheme="minorHAnsi" w:hAnsiTheme="minorHAnsi"/>
                <w:noProof w:val="0"/>
                <w:sz w:val="20"/>
                <w:szCs w:val="20"/>
                <w:lang w:val="en-US"/>
              </w:rPr>
              <w:t xml:space="preserve"> of personnel involved in the implementation of the </w:t>
            </w:r>
            <w:r w:rsidRPr="00E977B4">
              <w:rPr>
                <w:rFonts w:asciiTheme="minorHAnsi" w:hAnsiTheme="minorHAnsi"/>
                <w:b/>
                <w:noProof w:val="0"/>
                <w:sz w:val="20"/>
                <w:szCs w:val="20"/>
                <w:lang w:val="en-US"/>
              </w:rPr>
              <w:t>EIA Directive</w:t>
            </w:r>
            <w:r w:rsidRPr="00E977B4">
              <w:rPr>
                <w:rFonts w:asciiTheme="minorHAnsi" w:hAnsiTheme="minorHAnsi"/>
                <w:noProof w:val="0"/>
                <w:sz w:val="20"/>
                <w:szCs w:val="20"/>
                <w:lang w:val="en-US"/>
              </w:rPr>
              <w:t xml:space="preserve"> - for sectorial specific </w:t>
            </w:r>
            <w:r w:rsidRPr="00E977B4">
              <w:rPr>
                <w:rFonts w:asciiTheme="minorHAnsi" w:hAnsiTheme="minorHAnsi"/>
                <w:b/>
                <w:noProof w:val="0"/>
                <w:sz w:val="20"/>
                <w:szCs w:val="20"/>
                <w:lang w:val="en-US"/>
              </w:rPr>
              <w:t>guidelines on water / wastewater, waste, heating and transport</w:t>
            </w:r>
            <w:r w:rsidRPr="00E977B4">
              <w:rPr>
                <w:rFonts w:asciiTheme="minorHAnsi" w:hAnsiTheme="minorHAnsi"/>
                <w:noProof w:val="0"/>
                <w:sz w:val="20"/>
                <w:szCs w:val="20"/>
                <w:lang w:val="en-US"/>
              </w:rPr>
              <w:t>, guidelines developed by Jaspers technical assistance. The training was attended by around 200 people (from local environmental authorities, Regional and National Agency for Environmental Protection, Ministry of Environment, and Water Basin Administration, the SOP Environment managing authority and intermediate bodies). The training agenda contained EIA guidelines, requirements of the content of Annex 21 to Regulation no. 1083/2006 and concrete examples for completing the sections of the application form.</w:t>
            </w:r>
          </w:p>
        </w:tc>
        <w:tc>
          <w:tcPr>
            <w:tcW w:w="2410" w:type="dxa"/>
            <w:shd w:val="clear" w:color="auto" w:fill="auto"/>
          </w:tcPr>
          <w:p w:rsidR="00F15BBB" w:rsidRPr="00E977B4" w:rsidRDefault="00C8598A" w:rsidP="00172BE7">
            <w:pPr>
              <w:autoSpaceDE w:val="0"/>
              <w:autoSpaceDN w:val="0"/>
              <w:adjustRightInd w:val="0"/>
              <w:jc w:val="both"/>
              <w:rPr>
                <w:rFonts w:asciiTheme="minorHAnsi" w:hAnsiTheme="minorHAnsi"/>
                <w:noProof w:val="0"/>
                <w:sz w:val="20"/>
                <w:szCs w:val="20"/>
                <w:lang w:val="en-US"/>
              </w:rPr>
            </w:pPr>
            <w:r>
              <w:rPr>
                <w:rFonts w:asciiTheme="minorHAnsi" w:hAnsiTheme="minorHAnsi"/>
                <w:noProof w:val="0"/>
                <w:sz w:val="20"/>
                <w:szCs w:val="20"/>
                <w:lang w:val="en-US"/>
              </w:rPr>
              <w:t>R</w:t>
            </w:r>
            <w:r w:rsidR="00B923FA" w:rsidRPr="00E977B4">
              <w:rPr>
                <w:rFonts w:asciiTheme="minorHAnsi" w:hAnsiTheme="minorHAnsi"/>
                <w:noProof w:val="0"/>
                <w:sz w:val="20"/>
                <w:szCs w:val="20"/>
                <w:lang w:val="en-US"/>
              </w:rPr>
              <w:t>ealized</w:t>
            </w:r>
          </w:p>
        </w:tc>
        <w:tc>
          <w:tcPr>
            <w:tcW w:w="1417" w:type="dxa"/>
            <w:vMerge w:val="restart"/>
            <w:shd w:val="clear" w:color="auto" w:fill="auto"/>
          </w:tcPr>
          <w:p w:rsidR="00F15BBB" w:rsidRPr="00E977B4" w:rsidRDefault="00F15BBB" w:rsidP="00BD3EDB">
            <w:pPr>
              <w:jc w:val="both"/>
              <w:rPr>
                <w:rFonts w:asciiTheme="minorHAnsi" w:hAnsiTheme="minorHAnsi"/>
                <w:noProof w:val="0"/>
                <w:sz w:val="20"/>
                <w:szCs w:val="20"/>
                <w:lang w:val="en-US"/>
              </w:rPr>
            </w:pPr>
            <w:r w:rsidRPr="00E977B4">
              <w:rPr>
                <w:rFonts w:asciiTheme="minorHAnsi" w:hAnsiTheme="minorHAnsi"/>
                <w:noProof w:val="0"/>
                <w:sz w:val="20"/>
                <w:szCs w:val="20"/>
                <w:lang w:val="en-US"/>
              </w:rPr>
              <w:t>Ministry of Environment</w:t>
            </w:r>
            <w:r w:rsidR="00BD3EDB" w:rsidRPr="00E977B4">
              <w:rPr>
                <w:rFonts w:asciiTheme="minorHAnsi" w:hAnsiTheme="minorHAnsi"/>
                <w:noProof w:val="0"/>
                <w:sz w:val="20"/>
                <w:szCs w:val="20"/>
                <w:lang w:val="en-US"/>
              </w:rPr>
              <w:t>, Waters and Forests</w:t>
            </w:r>
          </w:p>
        </w:tc>
      </w:tr>
      <w:tr w:rsidR="000D4573" w:rsidRPr="00E977B4" w:rsidTr="00AF3E0F">
        <w:trPr>
          <w:trHeight w:val="191"/>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172BE7">
            <w:pPr>
              <w:tabs>
                <w:tab w:val="left" w:pos="0"/>
              </w:tabs>
              <w:autoSpaceDE w:val="0"/>
              <w:autoSpaceDN w:val="0"/>
              <w:adjustRightInd w:val="0"/>
              <w:contextualSpacing/>
              <w:jc w:val="both"/>
              <w:rPr>
                <w:rFonts w:asciiTheme="minorHAnsi" w:hAnsiTheme="minorHAnsi"/>
                <w:noProof w:val="0"/>
                <w:sz w:val="20"/>
                <w:szCs w:val="20"/>
                <w:lang w:val="en-US"/>
              </w:rPr>
            </w:pPr>
            <w:r w:rsidRPr="00E977B4">
              <w:rPr>
                <w:rFonts w:asciiTheme="minorHAnsi" w:hAnsiTheme="minorHAnsi"/>
                <w:noProof w:val="0"/>
                <w:sz w:val="20"/>
                <w:szCs w:val="20"/>
                <w:lang w:val="en-US"/>
              </w:rPr>
              <w:t xml:space="preserve">For </w:t>
            </w:r>
            <w:r w:rsidRPr="00E977B4">
              <w:rPr>
                <w:rFonts w:asciiTheme="minorHAnsi" w:hAnsiTheme="minorHAnsi"/>
                <w:b/>
                <w:noProof w:val="0"/>
                <w:sz w:val="20"/>
                <w:szCs w:val="20"/>
                <w:lang w:val="en-US"/>
              </w:rPr>
              <w:t>2014-2020</w:t>
            </w:r>
            <w:r w:rsidRPr="00E977B4">
              <w:rPr>
                <w:rFonts w:asciiTheme="minorHAnsi" w:hAnsiTheme="minorHAnsi"/>
                <w:noProof w:val="0"/>
                <w:sz w:val="20"/>
                <w:szCs w:val="20"/>
                <w:lang w:val="en-US"/>
              </w:rPr>
              <w:t xml:space="preserve"> the </w:t>
            </w:r>
            <w:r w:rsidRPr="00E977B4">
              <w:rPr>
                <w:rFonts w:asciiTheme="minorHAnsi" w:hAnsiTheme="minorHAnsi"/>
                <w:b/>
                <w:noProof w:val="0"/>
                <w:sz w:val="20"/>
                <w:szCs w:val="20"/>
                <w:lang w:val="en-US"/>
              </w:rPr>
              <w:t>training for environmental authorities will be better substantiated</w:t>
            </w:r>
            <w:r w:rsidRPr="00E977B4">
              <w:rPr>
                <w:rFonts w:asciiTheme="minorHAnsi" w:hAnsiTheme="minorHAnsi"/>
                <w:noProof w:val="0"/>
                <w:sz w:val="20"/>
                <w:szCs w:val="20"/>
                <w:lang w:val="en-US"/>
              </w:rPr>
              <w:t>:</w:t>
            </w:r>
          </w:p>
          <w:p w:rsidR="00F15BBB" w:rsidRPr="00E977B4" w:rsidRDefault="00F15BBB" w:rsidP="00172BE7">
            <w:pPr>
              <w:numPr>
                <w:ilvl w:val="0"/>
                <w:numId w:val="1"/>
              </w:numPr>
              <w:autoSpaceDE w:val="0"/>
              <w:autoSpaceDN w:val="0"/>
              <w:adjustRightInd w:val="0"/>
              <w:ind w:left="198" w:hanging="198"/>
              <w:contextualSpacing/>
              <w:jc w:val="both"/>
              <w:rPr>
                <w:rFonts w:asciiTheme="minorHAnsi" w:hAnsiTheme="minorHAnsi"/>
                <w:noProof w:val="0"/>
                <w:sz w:val="20"/>
                <w:szCs w:val="20"/>
                <w:lang w:val="en-US"/>
              </w:rPr>
            </w:pPr>
            <w:r w:rsidRPr="00E977B4">
              <w:rPr>
                <w:rFonts w:asciiTheme="minorHAnsi" w:eastAsia="Calibri" w:hAnsiTheme="minorHAnsi"/>
                <w:b/>
                <w:noProof w:val="0"/>
                <w:sz w:val="20"/>
                <w:szCs w:val="20"/>
                <w:lang w:val="en-US"/>
              </w:rPr>
              <w:t>identification of the authorities</w:t>
            </w:r>
            <w:r w:rsidRPr="00E977B4">
              <w:rPr>
                <w:rFonts w:asciiTheme="minorHAnsi" w:eastAsia="Calibri" w:hAnsiTheme="minorHAnsi"/>
                <w:noProof w:val="0"/>
                <w:sz w:val="20"/>
                <w:szCs w:val="20"/>
                <w:lang w:val="en-US"/>
              </w:rPr>
              <w:t xml:space="preserve"> involved in the EIA/SEA process in order to organize the training and dissemination of information in the implementation  of those directives was </w:t>
            </w:r>
            <w:r w:rsidR="00C8598A" w:rsidRPr="00E977B4">
              <w:rPr>
                <w:rFonts w:asciiTheme="minorHAnsi" w:eastAsia="Calibri" w:hAnsiTheme="minorHAnsi"/>
                <w:noProof w:val="0"/>
                <w:sz w:val="20"/>
                <w:szCs w:val="20"/>
                <w:lang w:val="en-US"/>
              </w:rPr>
              <w:t>realized</w:t>
            </w:r>
            <w:r w:rsidRPr="00E977B4">
              <w:rPr>
                <w:rFonts w:asciiTheme="minorHAnsi" w:eastAsia="Calibri" w:hAnsiTheme="minorHAnsi"/>
                <w:noProof w:val="0"/>
                <w:sz w:val="20"/>
                <w:szCs w:val="20"/>
                <w:lang w:val="en-US"/>
              </w:rPr>
              <w:t xml:space="preserve"> by the MECC together with JASPERS.</w:t>
            </w:r>
            <w:r w:rsidRPr="00E977B4">
              <w:rPr>
                <w:rFonts w:asciiTheme="minorHAnsi" w:hAnsiTheme="minorHAnsi"/>
                <w:noProof w:val="0"/>
                <w:sz w:val="20"/>
                <w:szCs w:val="20"/>
                <w:lang w:val="en-US"/>
              </w:rPr>
              <w:t xml:space="preserve"> </w:t>
            </w:r>
          </w:p>
          <w:p w:rsidR="00F15BBB" w:rsidRPr="00E977B4" w:rsidRDefault="00F15BBB" w:rsidP="00172BE7">
            <w:pPr>
              <w:numPr>
                <w:ilvl w:val="0"/>
                <w:numId w:val="1"/>
              </w:numPr>
              <w:autoSpaceDE w:val="0"/>
              <w:autoSpaceDN w:val="0"/>
              <w:adjustRightInd w:val="0"/>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noProof w:val="0"/>
                <w:sz w:val="20"/>
                <w:szCs w:val="20"/>
                <w:lang w:val="en-US"/>
              </w:rPr>
              <w:t xml:space="preserve">were identified </w:t>
            </w:r>
            <w:r w:rsidRPr="00E977B4">
              <w:rPr>
                <w:rFonts w:asciiTheme="minorHAnsi" w:eastAsia="Calibri" w:hAnsiTheme="minorHAnsi"/>
                <w:b/>
                <w:noProof w:val="0"/>
                <w:sz w:val="20"/>
                <w:szCs w:val="20"/>
                <w:lang w:val="en-US"/>
              </w:rPr>
              <w:t>2 level of authorities</w:t>
            </w:r>
            <w:r w:rsidRPr="00E977B4">
              <w:rPr>
                <w:rFonts w:asciiTheme="minorHAnsi" w:eastAsia="Calibri" w:hAnsiTheme="minorHAnsi"/>
                <w:noProof w:val="0"/>
                <w:sz w:val="20"/>
                <w:szCs w:val="20"/>
                <w:lang w:val="en-US"/>
              </w:rPr>
              <w:t xml:space="preserve">: </w:t>
            </w:r>
          </w:p>
          <w:p w:rsidR="00F15BBB" w:rsidRPr="00E977B4" w:rsidRDefault="00F15BBB" w:rsidP="00172BE7">
            <w:pPr>
              <w:numPr>
                <w:ilvl w:val="1"/>
                <w:numId w:val="1"/>
              </w:numPr>
              <w:autoSpaceDE w:val="0"/>
              <w:autoSpaceDN w:val="0"/>
              <w:adjustRightInd w:val="0"/>
              <w:ind w:left="659" w:hanging="283"/>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environmental competent authorities</w:t>
            </w:r>
            <w:r w:rsidRPr="00E977B4">
              <w:rPr>
                <w:rFonts w:asciiTheme="minorHAnsi" w:eastAsia="Calibri" w:hAnsiTheme="minorHAnsi"/>
                <w:noProof w:val="0"/>
                <w:sz w:val="20"/>
                <w:szCs w:val="20"/>
                <w:lang w:val="en-US"/>
              </w:rPr>
              <w:t xml:space="preserve"> and </w:t>
            </w:r>
          </w:p>
          <w:p w:rsidR="00F15BBB" w:rsidRPr="00E977B4" w:rsidRDefault="00F15BBB" w:rsidP="00172BE7">
            <w:pPr>
              <w:numPr>
                <w:ilvl w:val="1"/>
                <w:numId w:val="1"/>
              </w:numPr>
              <w:autoSpaceDE w:val="0"/>
              <w:autoSpaceDN w:val="0"/>
              <w:adjustRightInd w:val="0"/>
              <w:ind w:left="659" w:hanging="283"/>
              <w:contextualSpacing/>
              <w:jc w:val="both"/>
              <w:rPr>
                <w:rFonts w:asciiTheme="minorHAnsi" w:eastAsia="Calibri" w:hAnsiTheme="minorHAnsi"/>
                <w:b/>
                <w:noProof w:val="0"/>
                <w:sz w:val="20"/>
                <w:szCs w:val="20"/>
                <w:lang w:val="en-US"/>
              </w:rPr>
            </w:pPr>
            <w:r w:rsidRPr="00E977B4">
              <w:rPr>
                <w:rFonts w:asciiTheme="minorHAnsi" w:eastAsia="Calibri" w:hAnsiTheme="minorHAnsi"/>
                <w:b/>
                <w:noProof w:val="0"/>
                <w:sz w:val="20"/>
                <w:szCs w:val="20"/>
                <w:lang w:val="en-US"/>
              </w:rPr>
              <w:t>other authorities</w:t>
            </w:r>
            <w:r w:rsidRPr="00E977B4">
              <w:rPr>
                <w:rFonts w:asciiTheme="minorHAnsi" w:eastAsia="Calibri" w:hAnsiTheme="minorHAnsi"/>
                <w:noProof w:val="0"/>
                <w:sz w:val="20"/>
                <w:szCs w:val="20"/>
                <w:lang w:val="en-US"/>
              </w:rPr>
              <w:t xml:space="preserve"> involved in project/plan/programme (as management authorities and intermediate bodies at national and regional level etc.)</w:t>
            </w:r>
          </w:p>
        </w:tc>
        <w:tc>
          <w:tcPr>
            <w:tcW w:w="2410" w:type="dxa"/>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p w:rsidR="00F15BBB" w:rsidRPr="00E977B4" w:rsidRDefault="00F15BBB" w:rsidP="00172BE7">
            <w:pPr>
              <w:autoSpaceDE w:val="0"/>
              <w:autoSpaceDN w:val="0"/>
              <w:adjustRightInd w:val="0"/>
              <w:jc w:val="both"/>
              <w:rPr>
                <w:rFonts w:asciiTheme="minorHAnsi" w:hAnsiTheme="minorHAnsi"/>
                <w:noProof w:val="0"/>
                <w:sz w:val="20"/>
                <w:szCs w:val="20"/>
                <w:lang w:val="en-US"/>
              </w:rPr>
            </w:pPr>
          </w:p>
          <w:p w:rsidR="00F15BBB" w:rsidRPr="00E977B4" w:rsidRDefault="00C8598A" w:rsidP="00172BE7">
            <w:pPr>
              <w:autoSpaceDE w:val="0"/>
              <w:autoSpaceDN w:val="0"/>
              <w:adjustRightInd w:val="0"/>
              <w:jc w:val="both"/>
              <w:rPr>
                <w:rFonts w:asciiTheme="minorHAnsi" w:hAnsiTheme="minorHAnsi"/>
                <w:noProof w:val="0"/>
                <w:sz w:val="20"/>
                <w:szCs w:val="20"/>
                <w:lang w:val="en-US"/>
              </w:rPr>
            </w:pPr>
            <w:r>
              <w:rPr>
                <w:rFonts w:asciiTheme="minorHAnsi" w:hAnsiTheme="minorHAnsi"/>
                <w:noProof w:val="0"/>
                <w:sz w:val="20"/>
                <w:szCs w:val="20"/>
                <w:lang w:val="en-US"/>
              </w:rPr>
              <w:t>R</w:t>
            </w:r>
            <w:r w:rsidR="00B923FA" w:rsidRPr="00E977B4">
              <w:rPr>
                <w:rFonts w:asciiTheme="minorHAnsi" w:hAnsiTheme="minorHAnsi"/>
                <w:noProof w:val="0"/>
                <w:sz w:val="20"/>
                <w:szCs w:val="20"/>
                <w:lang w:val="en-US"/>
              </w:rPr>
              <w:t>ealized</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978"/>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a Strategy and Plan for training were developed</w:t>
            </w:r>
            <w:r w:rsidRPr="00E977B4">
              <w:rPr>
                <w:rFonts w:asciiTheme="minorHAnsi" w:eastAsia="Calibri" w:hAnsiTheme="minorHAnsi"/>
                <w:noProof w:val="0"/>
                <w:sz w:val="20"/>
                <w:szCs w:val="20"/>
                <w:lang w:val="en-US"/>
              </w:rPr>
              <w:t xml:space="preserve"> for the </w:t>
            </w:r>
            <w:r w:rsidRPr="00E977B4">
              <w:rPr>
                <w:rFonts w:asciiTheme="minorHAnsi" w:eastAsia="Calibri" w:hAnsiTheme="minorHAnsi"/>
                <w:b/>
                <w:noProof w:val="0"/>
                <w:sz w:val="20"/>
                <w:szCs w:val="20"/>
                <w:lang w:val="en-US"/>
              </w:rPr>
              <w:t>environmental competent authorities</w:t>
            </w:r>
            <w:r w:rsidRPr="00E977B4">
              <w:rPr>
                <w:rFonts w:asciiTheme="minorHAnsi" w:eastAsia="Calibri" w:hAnsiTheme="minorHAnsi"/>
                <w:noProof w:val="0"/>
                <w:sz w:val="20"/>
                <w:szCs w:val="20"/>
                <w:lang w:val="en-US"/>
              </w:rPr>
              <w:t>. Those documents were realised through assistance from JASPERS.</w:t>
            </w:r>
          </w:p>
          <w:p w:rsidR="00F15BBB" w:rsidRPr="00E977B4" w:rsidRDefault="00F15BBB"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noProof w:val="0"/>
                <w:sz w:val="20"/>
                <w:szCs w:val="20"/>
                <w:lang w:val="en-US"/>
              </w:rPr>
              <w:t xml:space="preserve">The Strategy and the Plan for training </w:t>
            </w:r>
            <w:r w:rsidRPr="00E977B4">
              <w:rPr>
                <w:rFonts w:asciiTheme="minorHAnsi" w:eastAsia="Calibri" w:hAnsiTheme="minorHAnsi"/>
                <w:b/>
                <w:noProof w:val="0"/>
                <w:sz w:val="20"/>
                <w:szCs w:val="20"/>
                <w:lang w:val="en-US"/>
              </w:rPr>
              <w:t>contain 2 cycles: 2014-2016 and 2017-2020</w:t>
            </w:r>
            <w:r w:rsidRPr="00E977B4">
              <w:rPr>
                <w:rFonts w:asciiTheme="minorHAnsi" w:eastAsia="Calibri" w:hAnsiTheme="minorHAnsi"/>
                <w:noProof w:val="0"/>
                <w:sz w:val="20"/>
                <w:szCs w:val="20"/>
                <w:lang w:val="en-US"/>
              </w:rPr>
              <w:t>.</w:t>
            </w:r>
          </w:p>
        </w:tc>
        <w:tc>
          <w:tcPr>
            <w:tcW w:w="2410" w:type="dxa"/>
            <w:shd w:val="clear" w:color="auto" w:fill="auto"/>
          </w:tcPr>
          <w:p w:rsidR="00F15BBB" w:rsidRPr="00E977B4" w:rsidRDefault="00C8598A" w:rsidP="00172BE7">
            <w:pPr>
              <w:tabs>
                <w:tab w:val="left" w:pos="0"/>
              </w:tabs>
              <w:autoSpaceDE w:val="0"/>
              <w:autoSpaceDN w:val="0"/>
              <w:adjustRightInd w:val="0"/>
              <w:contextualSpacing/>
              <w:jc w:val="both"/>
              <w:rPr>
                <w:rFonts w:asciiTheme="minorHAnsi" w:eastAsia="Calibri" w:hAnsiTheme="minorHAnsi"/>
                <w:noProof w:val="0"/>
                <w:sz w:val="20"/>
                <w:szCs w:val="20"/>
                <w:lang w:val="en-US"/>
              </w:rPr>
            </w:pPr>
            <w:r w:rsidRPr="00E977B4">
              <w:rPr>
                <w:rFonts w:asciiTheme="minorHAnsi" w:eastAsia="Calibri" w:hAnsiTheme="minorHAnsi"/>
                <w:noProof w:val="0"/>
                <w:sz w:val="20"/>
                <w:szCs w:val="20"/>
                <w:lang w:val="en-US"/>
              </w:rPr>
              <w:t>Realized</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1261"/>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Implementation of the first cycle 2014-2016 of the Strategy and Plan</w:t>
            </w:r>
            <w:r w:rsidRPr="00E977B4">
              <w:rPr>
                <w:rFonts w:asciiTheme="minorHAnsi" w:eastAsia="Calibri" w:hAnsiTheme="minorHAnsi"/>
                <w:noProof w:val="0"/>
                <w:sz w:val="20"/>
                <w:szCs w:val="20"/>
                <w:lang w:val="en-US"/>
              </w:rPr>
              <w:t xml:space="preserve"> will be </w:t>
            </w:r>
            <w:r w:rsidR="00043AF7" w:rsidRPr="00E977B4">
              <w:rPr>
                <w:rFonts w:asciiTheme="minorHAnsi" w:eastAsia="Calibri" w:hAnsiTheme="minorHAnsi"/>
                <w:noProof w:val="0"/>
                <w:sz w:val="20"/>
                <w:szCs w:val="20"/>
                <w:lang w:val="en-US"/>
              </w:rPr>
              <w:t>organized</w:t>
            </w:r>
            <w:r w:rsidRPr="00E977B4">
              <w:rPr>
                <w:rFonts w:asciiTheme="minorHAnsi" w:eastAsia="Calibri" w:hAnsiTheme="minorHAnsi"/>
                <w:noProof w:val="0"/>
                <w:sz w:val="20"/>
                <w:szCs w:val="20"/>
                <w:lang w:val="en-US"/>
              </w:rPr>
              <w:t xml:space="preserve"> </w:t>
            </w:r>
            <w:r w:rsidRPr="00E977B4">
              <w:rPr>
                <w:rFonts w:asciiTheme="minorHAnsi" w:eastAsia="Calibri" w:hAnsiTheme="minorHAnsi"/>
                <w:b/>
                <w:noProof w:val="0"/>
                <w:sz w:val="20"/>
                <w:szCs w:val="20"/>
                <w:lang w:val="en-US"/>
              </w:rPr>
              <w:t>in 2 stages</w:t>
            </w:r>
            <w:r w:rsidRPr="00E977B4">
              <w:rPr>
                <w:rFonts w:asciiTheme="minorHAnsi" w:eastAsia="Calibri" w:hAnsiTheme="minorHAnsi"/>
                <w:noProof w:val="0"/>
                <w:sz w:val="20"/>
                <w:szCs w:val="20"/>
                <w:lang w:val="en-US"/>
              </w:rPr>
              <w:t xml:space="preserve"> for around 400 staff per stage. Every stage has: </w:t>
            </w:r>
          </w:p>
          <w:p w:rsidR="00F15BBB" w:rsidRPr="00E977B4" w:rsidRDefault="00F15BBB" w:rsidP="00172BE7">
            <w:pPr>
              <w:numPr>
                <w:ilvl w:val="1"/>
                <w:numId w:val="1"/>
              </w:numPr>
              <w:ind w:left="517" w:hanging="283"/>
              <w:contextualSpacing/>
              <w:jc w:val="both"/>
              <w:rPr>
                <w:rFonts w:asciiTheme="minorHAnsi" w:eastAsia="Calibri" w:hAnsiTheme="minorHAnsi"/>
                <w:noProof w:val="0"/>
                <w:sz w:val="20"/>
                <w:szCs w:val="20"/>
                <w:lang w:val="en-US"/>
              </w:rPr>
            </w:pPr>
            <w:r w:rsidRPr="00E977B4">
              <w:rPr>
                <w:rFonts w:asciiTheme="minorHAnsi" w:eastAsia="Calibri" w:hAnsiTheme="minorHAnsi"/>
                <w:noProof w:val="0"/>
                <w:sz w:val="20"/>
                <w:szCs w:val="20"/>
                <w:lang w:val="en-US"/>
              </w:rPr>
              <w:t xml:space="preserve">EIA training: 15 sessions, 3 days each session; </w:t>
            </w:r>
          </w:p>
          <w:p w:rsidR="00F15BBB" w:rsidRPr="00E977B4" w:rsidRDefault="00F15BBB" w:rsidP="001C3958">
            <w:pPr>
              <w:numPr>
                <w:ilvl w:val="1"/>
                <w:numId w:val="1"/>
              </w:numPr>
              <w:ind w:left="517" w:hanging="283"/>
              <w:contextualSpacing/>
              <w:jc w:val="both"/>
              <w:rPr>
                <w:rFonts w:asciiTheme="minorHAnsi" w:eastAsia="Calibri" w:hAnsiTheme="minorHAnsi"/>
                <w:noProof w:val="0"/>
                <w:sz w:val="20"/>
                <w:szCs w:val="20"/>
                <w:lang w:val="en-US"/>
              </w:rPr>
            </w:pPr>
            <w:r w:rsidRPr="00E977B4">
              <w:rPr>
                <w:rFonts w:asciiTheme="minorHAnsi" w:eastAsia="Calibri" w:hAnsiTheme="minorHAnsi"/>
                <w:noProof w:val="0"/>
                <w:sz w:val="20"/>
                <w:szCs w:val="20"/>
                <w:lang w:val="en-US"/>
              </w:rPr>
              <w:t xml:space="preserve">SEA training: 15 sessions, </w:t>
            </w:r>
            <w:r w:rsidR="001C3958">
              <w:rPr>
                <w:rFonts w:asciiTheme="minorHAnsi" w:eastAsia="Calibri" w:hAnsiTheme="minorHAnsi"/>
                <w:noProof w:val="0"/>
                <w:sz w:val="20"/>
                <w:szCs w:val="20"/>
                <w:lang w:val="en-US"/>
              </w:rPr>
              <w:t>2</w:t>
            </w:r>
            <w:r w:rsidRPr="00E977B4">
              <w:rPr>
                <w:rFonts w:asciiTheme="minorHAnsi" w:eastAsia="Calibri" w:hAnsiTheme="minorHAnsi"/>
                <w:noProof w:val="0"/>
                <w:sz w:val="20"/>
                <w:szCs w:val="20"/>
                <w:lang w:val="en-US"/>
              </w:rPr>
              <w:t xml:space="preserve"> days each session. </w:t>
            </w:r>
          </w:p>
        </w:tc>
        <w:tc>
          <w:tcPr>
            <w:tcW w:w="2410" w:type="dxa"/>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p w:rsidR="00F15BBB" w:rsidRPr="00E977B4" w:rsidRDefault="00F15BBB" w:rsidP="00172BE7">
            <w:pPr>
              <w:autoSpaceDE w:val="0"/>
              <w:autoSpaceDN w:val="0"/>
              <w:adjustRightInd w:val="0"/>
              <w:jc w:val="both"/>
              <w:rPr>
                <w:rFonts w:asciiTheme="minorHAnsi" w:hAnsiTheme="minorHAnsi"/>
                <w:noProof w:val="0"/>
                <w:sz w:val="20"/>
                <w:szCs w:val="20"/>
                <w:lang w:val="en-US"/>
              </w:rPr>
            </w:pPr>
            <w:r w:rsidRPr="00E977B4">
              <w:rPr>
                <w:rFonts w:asciiTheme="minorHAnsi" w:hAnsiTheme="minorHAnsi"/>
                <w:noProof w:val="0"/>
                <w:sz w:val="20"/>
                <w:szCs w:val="20"/>
                <w:lang w:val="en-US"/>
              </w:rPr>
              <w:t>2014 – 2016</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553"/>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Training development of the first stage of the first cycle of the Strategy and Plan</w:t>
            </w:r>
          </w:p>
        </w:tc>
        <w:tc>
          <w:tcPr>
            <w:tcW w:w="2410" w:type="dxa"/>
            <w:shd w:val="clear" w:color="auto" w:fill="auto"/>
          </w:tcPr>
          <w:p w:rsidR="00F15BBB" w:rsidRPr="00E977B4" w:rsidRDefault="00F15BBB" w:rsidP="000D4573">
            <w:pPr>
              <w:autoSpaceDE w:val="0"/>
              <w:autoSpaceDN w:val="0"/>
              <w:adjustRightInd w:val="0"/>
              <w:jc w:val="both"/>
              <w:rPr>
                <w:rFonts w:asciiTheme="minorHAnsi" w:hAnsiTheme="minorHAnsi"/>
                <w:noProof w:val="0"/>
                <w:sz w:val="20"/>
                <w:szCs w:val="20"/>
                <w:lang w:val="en-US"/>
              </w:rPr>
            </w:pPr>
            <w:r w:rsidRPr="00E977B4">
              <w:rPr>
                <w:rFonts w:asciiTheme="minorHAnsi" w:hAnsiTheme="minorHAnsi"/>
                <w:noProof w:val="0"/>
                <w:sz w:val="20"/>
                <w:szCs w:val="20"/>
                <w:lang w:val="en-US"/>
              </w:rPr>
              <w:t>2014 –</w:t>
            </w:r>
            <w:r w:rsidR="00A33756">
              <w:rPr>
                <w:rFonts w:asciiTheme="minorHAnsi" w:hAnsiTheme="minorHAnsi"/>
                <w:noProof w:val="0"/>
                <w:sz w:val="20"/>
                <w:szCs w:val="20"/>
                <w:lang w:val="en-US"/>
              </w:rPr>
              <w:t xml:space="preserve"> </w:t>
            </w:r>
            <w:r w:rsidRPr="00A33756">
              <w:rPr>
                <w:rFonts w:asciiTheme="minorHAnsi" w:hAnsiTheme="minorHAnsi"/>
                <w:noProof w:val="0"/>
                <w:sz w:val="20"/>
                <w:szCs w:val="20"/>
                <w:lang w:val="en-US"/>
              </w:rPr>
              <w:t xml:space="preserve">November </w:t>
            </w:r>
            <w:r w:rsidRPr="00E977B4">
              <w:rPr>
                <w:rFonts w:asciiTheme="minorHAnsi" w:hAnsiTheme="minorHAnsi"/>
                <w:noProof w:val="0"/>
                <w:sz w:val="20"/>
                <w:szCs w:val="20"/>
                <w:lang w:val="en-US"/>
              </w:rPr>
              <w:t xml:space="preserve">2015 </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61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AD6527"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Elaboration</w:t>
            </w:r>
            <w:r w:rsidR="00F15BBB" w:rsidRPr="00E977B4">
              <w:rPr>
                <w:rFonts w:asciiTheme="minorHAnsi" w:eastAsia="Calibri" w:hAnsiTheme="minorHAnsi"/>
                <w:noProof w:val="0"/>
                <w:sz w:val="20"/>
                <w:szCs w:val="20"/>
                <w:lang w:val="en-US"/>
              </w:rPr>
              <w:t xml:space="preserve"> of an </w:t>
            </w:r>
            <w:r w:rsidR="00F15BBB" w:rsidRPr="00E977B4">
              <w:rPr>
                <w:rFonts w:asciiTheme="minorHAnsi" w:eastAsia="Calibri" w:hAnsiTheme="minorHAnsi"/>
                <w:b/>
                <w:noProof w:val="0"/>
                <w:sz w:val="20"/>
                <w:szCs w:val="20"/>
                <w:lang w:val="en-US"/>
              </w:rPr>
              <w:t>intermediary assessment of the training needs</w:t>
            </w:r>
            <w:r w:rsidR="00F15BBB" w:rsidRPr="00E977B4">
              <w:rPr>
                <w:rFonts w:asciiTheme="minorHAnsi" w:eastAsia="Calibri" w:hAnsiTheme="minorHAnsi"/>
                <w:noProof w:val="0"/>
                <w:sz w:val="20"/>
                <w:szCs w:val="20"/>
                <w:lang w:val="en-US"/>
              </w:rPr>
              <w:t xml:space="preserve"> at the end of first stage. The assessment will be taken into account in the organization of the second stage.</w:t>
            </w:r>
          </w:p>
        </w:tc>
        <w:tc>
          <w:tcPr>
            <w:tcW w:w="2410" w:type="dxa"/>
            <w:shd w:val="clear" w:color="auto" w:fill="auto"/>
          </w:tcPr>
          <w:p w:rsidR="00F15BBB" w:rsidRPr="00E977B4" w:rsidRDefault="00F15BBB" w:rsidP="000D4573">
            <w:pPr>
              <w:contextualSpacing/>
              <w:jc w:val="both"/>
              <w:rPr>
                <w:rFonts w:asciiTheme="minorHAnsi" w:eastAsia="Calibri" w:hAnsiTheme="minorHAnsi"/>
                <w:noProof w:val="0"/>
                <w:sz w:val="20"/>
                <w:szCs w:val="20"/>
                <w:lang w:val="en-US"/>
              </w:rPr>
            </w:pPr>
            <w:r w:rsidRPr="00E977B4">
              <w:rPr>
                <w:rFonts w:asciiTheme="minorHAnsi" w:hAnsiTheme="minorHAnsi"/>
                <w:noProof w:val="0"/>
                <w:sz w:val="20"/>
                <w:szCs w:val="20"/>
                <w:lang w:val="en-US"/>
              </w:rPr>
              <w:t>December 2015</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612"/>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301E3E">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 xml:space="preserve">implementation of the second stage of the first cycle of the Strategy and Plan </w:t>
            </w:r>
          </w:p>
        </w:tc>
        <w:tc>
          <w:tcPr>
            <w:tcW w:w="2410" w:type="dxa"/>
            <w:shd w:val="clear" w:color="auto" w:fill="auto"/>
          </w:tcPr>
          <w:p w:rsidR="00F15BBB" w:rsidRPr="00E977B4" w:rsidRDefault="00F15BBB" w:rsidP="00172BE7">
            <w:pPr>
              <w:ind w:hanging="18"/>
              <w:contextualSpacing/>
              <w:jc w:val="both"/>
              <w:rPr>
                <w:rFonts w:asciiTheme="minorHAnsi" w:hAnsiTheme="minorHAnsi"/>
                <w:noProof w:val="0"/>
                <w:sz w:val="20"/>
                <w:szCs w:val="20"/>
                <w:lang w:val="en-US"/>
              </w:rPr>
            </w:pPr>
            <w:r w:rsidRPr="00E977B4">
              <w:rPr>
                <w:rFonts w:asciiTheme="minorHAnsi" w:hAnsiTheme="minorHAnsi"/>
                <w:noProof w:val="0"/>
                <w:sz w:val="20"/>
                <w:szCs w:val="20"/>
                <w:lang w:val="en-US"/>
              </w:rPr>
              <w:t>January – December 2016</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36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E977B4" w:rsidRDefault="00F15BBB" w:rsidP="00172BE7">
            <w:pPr>
              <w:numPr>
                <w:ilvl w:val="0"/>
                <w:numId w:val="1"/>
              </w:numPr>
              <w:ind w:left="198" w:hanging="198"/>
              <w:contextualSpacing/>
              <w:jc w:val="both"/>
              <w:rPr>
                <w:rFonts w:asciiTheme="minorHAnsi" w:eastAsia="Calibri" w:hAnsiTheme="minorHAnsi"/>
                <w:noProof w:val="0"/>
                <w:sz w:val="20"/>
                <w:szCs w:val="20"/>
                <w:lang w:val="en-US"/>
              </w:rPr>
            </w:pPr>
            <w:r w:rsidRPr="00E977B4">
              <w:rPr>
                <w:rFonts w:asciiTheme="minorHAnsi" w:eastAsia="Calibri" w:hAnsiTheme="minorHAnsi"/>
                <w:b/>
                <w:noProof w:val="0"/>
                <w:sz w:val="20"/>
                <w:szCs w:val="20"/>
                <w:lang w:val="en-US"/>
              </w:rPr>
              <w:t>elaboration of the report of the cycle I</w:t>
            </w:r>
          </w:p>
        </w:tc>
        <w:tc>
          <w:tcPr>
            <w:tcW w:w="2410" w:type="dxa"/>
            <w:shd w:val="clear" w:color="auto" w:fill="auto"/>
          </w:tcPr>
          <w:p w:rsidR="00F15BBB" w:rsidRPr="00E977B4" w:rsidRDefault="00F15BBB" w:rsidP="00172BE7">
            <w:pPr>
              <w:ind w:hanging="18"/>
              <w:contextualSpacing/>
              <w:jc w:val="both"/>
              <w:rPr>
                <w:rFonts w:asciiTheme="minorHAnsi" w:hAnsiTheme="minorHAnsi"/>
                <w:noProof w:val="0"/>
                <w:sz w:val="20"/>
                <w:szCs w:val="20"/>
                <w:lang w:val="en-US"/>
              </w:rPr>
            </w:pPr>
            <w:r w:rsidRPr="00E977B4">
              <w:rPr>
                <w:rFonts w:asciiTheme="minorHAnsi" w:hAnsiTheme="minorHAnsi"/>
                <w:noProof w:val="0"/>
                <w:sz w:val="20"/>
                <w:szCs w:val="20"/>
                <w:lang w:val="en-US"/>
              </w:rPr>
              <w:t>December 2016</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A56A1B" w:rsidRPr="000431E2" w:rsidTr="00F15BBB">
        <w:trPr>
          <w:trHeight w:val="366"/>
        </w:trPr>
        <w:tc>
          <w:tcPr>
            <w:tcW w:w="2556" w:type="dxa"/>
            <w:vMerge/>
            <w:shd w:val="clear" w:color="auto" w:fill="auto"/>
          </w:tcPr>
          <w:p w:rsidR="00A56A1B" w:rsidRPr="00E977B4" w:rsidRDefault="00A56A1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A56A1B" w:rsidRPr="00E977B4" w:rsidRDefault="00A56A1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45B0E" w:rsidRPr="000431E2" w:rsidRDefault="00F45B0E" w:rsidP="000A77BD">
            <w:pPr>
              <w:numPr>
                <w:ilvl w:val="0"/>
                <w:numId w:val="1"/>
              </w:numPr>
              <w:ind w:left="198" w:hanging="198"/>
              <w:contextualSpacing/>
              <w:jc w:val="both"/>
              <w:rPr>
                <w:rFonts w:asciiTheme="minorHAnsi" w:eastAsia="Calibri" w:hAnsiTheme="minorHAnsi"/>
                <w:b/>
                <w:noProof w:val="0"/>
                <w:color w:val="FF0000"/>
                <w:sz w:val="20"/>
                <w:szCs w:val="20"/>
                <w:lang w:val="en-US"/>
              </w:rPr>
            </w:pPr>
            <w:r w:rsidRPr="000431E2">
              <w:rPr>
                <w:rFonts w:asciiTheme="minorHAnsi" w:eastAsia="Calibri" w:hAnsiTheme="minorHAnsi"/>
                <w:b/>
                <w:noProof w:val="0"/>
                <w:sz w:val="20"/>
                <w:szCs w:val="20"/>
                <w:lang w:val="en-US"/>
              </w:rPr>
              <w:t xml:space="preserve">Approval of the Jaspers Guidelines by Ministerial Order and training of the personnel of the environmental authorities (NEPA, DDBRA, EPAs) in the training sessions of 2 </w:t>
            </w:r>
            <w:r w:rsidR="000A77BD" w:rsidRPr="000431E2">
              <w:rPr>
                <w:rFonts w:asciiTheme="minorHAnsi" w:eastAsia="Calibri" w:hAnsiTheme="minorHAnsi"/>
                <w:b/>
                <w:noProof w:val="0"/>
                <w:sz w:val="20"/>
                <w:szCs w:val="20"/>
                <w:lang w:val="en-US"/>
              </w:rPr>
              <w:t>stages of the first cycle which are developed under</w:t>
            </w:r>
            <w:r w:rsidRPr="000431E2">
              <w:rPr>
                <w:rFonts w:asciiTheme="minorHAnsi" w:eastAsia="Calibri" w:hAnsiTheme="minorHAnsi"/>
                <w:b/>
                <w:noProof w:val="0"/>
                <w:sz w:val="20"/>
                <w:szCs w:val="20"/>
                <w:lang w:val="en-US"/>
              </w:rPr>
              <w:t xml:space="preserve"> the Strategy and Plan developed by Jaspers</w:t>
            </w:r>
          </w:p>
        </w:tc>
        <w:tc>
          <w:tcPr>
            <w:tcW w:w="2410" w:type="dxa"/>
            <w:shd w:val="clear" w:color="auto" w:fill="auto"/>
          </w:tcPr>
          <w:p w:rsidR="00A56A1B" w:rsidRPr="000431E2" w:rsidRDefault="00A56A1B" w:rsidP="00172BE7">
            <w:pPr>
              <w:ind w:hanging="18"/>
              <w:contextualSpacing/>
              <w:jc w:val="both"/>
              <w:rPr>
                <w:rFonts w:asciiTheme="minorHAnsi" w:hAnsiTheme="minorHAnsi"/>
                <w:noProof w:val="0"/>
                <w:sz w:val="20"/>
                <w:szCs w:val="20"/>
                <w:lang w:val="en-US"/>
              </w:rPr>
            </w:pPr>
            <w:r w:rsidRPr="000431E2">
              <w:rPr>
                <w:rFonts w:asciiTheme="minorHAnsi" w:hAnsiTheme="minorHAnsi"/>
                <w:noProof w:val="0"/>
                <w:sz w:val="20"/>
                <w:szCs w:val="20"/>
                <w:lang w:val="en-US"/>
              </w:rPr>
              <w:t>December 2016</w:t>
            </w:r>
          </w:p>
        </w:tc>
        <w:tc>
          <w:tcPr>
            <w:tcW w:w="1417" w:type="dxa"/>
            <w:vMerge/>
            <w:shd w:val="clear" w:color="auto" w:fill="auto"/>
          </w:tcPr>
          <w:p w:rsidR="00A56A1B" w:rsidRPr="000431E2" w:rsidRDefault="00A56A1B" w:rsidP="00172BE7">
            <w:pPr>
              <w:jc w:val="both"/>
              <w:rPr>
                <w:rFonts w:asciiTheme="minorHAnsi" w:hAnsiTheme="minorHAnsi"/>
                <w:noProof w:val="0"/>
                <w:sz w:val="20"/>
                <w:szCs w:val="20"/>
                <w:lang w:val="en-US"/>
              </w:rPr>
            </w:pPr>
          </w:p>
        </w:tc>
      </w:tr>
      <w:tr w:rsidR="000D4573" w:rsidRPr="00E977B4" w:rsidTr="00F15BBB">
        <w:trPr>
          <w:trHeight w:val="36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F45B0E" w:rsidRDefault="00F15BBB" w:rsidP="00172BE7">
            <w:pPr>
              <w:numPr>
                <w:ilvl w:val="0"/>
                <w:numId w:val="1"/>
              </w:numPr>
              <w:ind w:left="198" w:hanging="198"/>
              <w:contextualSpacing/>
              <w:jc w:val="both"/>
              <w:rPr>
                <w:rFonts w:asciiTheme="minorHAnsi" w:eastAsia="Calibri" w:hAnsiTheme="minorHAnsi"/>
                <w:b/>
                <w:noProof w:val="0"/>
                <w:sz w:val="20"/>
                <w:szCs w:val="20"/>
                <w:lang w:val="en-US"/>
              </w:rPr>
            </w:pPr>
            <w:r w:rsidRPr="00F45B0E">
              <w:rPr>
                <w:rFonts w:asciiTheme="minorHAnsi" w:eastAsia="Calibri" w:hAnsiTheme="minorHAnsi"/>
                <w:b/>
                <w:noProof w:val="0"/>
                <w:sz w:val="20"/>
                <w:szCs w:val="20"/>
                <w:lang w:val="en-US"/>
              </w:rPr>
              <w:t>Identification of new fields for which guidelines needs to be prepared</w:t>
            </w:r>
            <w:r w:rsidR="00301E3E" w:rsidRPr="00F45B0E">
              <w:rPr>
                <w:rFonts w:asciiTheme="minorHAnsi" w:eastAsia="Calibri" w:hAnsiTheme="minorHAnsi"/>
                <w:b/>
                <w:noProof w:val="0"/>
                <w:sz w:val="20"/>
                <w:szCs w:val="20"/>
                <w:lang w:val="en-US"/>
              </w:rPr>
              <w:t xml:space="preserve"> (7 guidelines)</w:t>
            </w:r>
          </w:p>
        </w:tc>
        <w:tc>
          <w:tcPr>
            <w:tcW w:w="2410" w:type="dxa"/>
            <w:shd w:val="clear" w:color="auto" w:fill="auto"/>
          </w:tcPr>
          <w:p w:rsidR="00F15BBB" w:rsidRPr="0003452E" w:rsidRDefault="00C8598A" w:rsidP="00172BE7">
            <w:pPr>
              <w:ind w:hanging="18"/>
              <w:contextualSpacing/>
              <w:jc w:val="both"/>
              <w:rPr>
                <w:rFonts w:asciiTheme="minorHAnsi" w:hAnsiTheme="minorHAnsi"/>
                <w:noProof w:val="0"/>
                <w:sz w:val="20"/>
                <w:szCs w:val="20"/>
                <w:lang w:val="en-US"/>
              </w:rPr>
            </w:pPr>
            <w:r w:rsidRPr="0003452E">
              <w:rPr>
                <w:rFonts w:asciiTheme="minorHAnsi" w:hAnsiTheme="minorHAnsi"/>
                <w:noProof w:val="0"/>
                <w:sz w:val="20"/>
                <w:szCs w:val="20"/>
                <w:lang w:val="en-US"/>
              </w:rPr>
              <w:t>Realized</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36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F45B0E" w:rsidRDefault="00F15BBB" w:rsidP="00172BE7">
            <w:pPr>
              <w:numPr>
                <w:ilvl w:val="0"/>
                <w:numId w:val="1"/>
              </w:numPr>
              <w:ind w:left="198" w:hanging="198"/>
              <w:contextualSpacing/>
              <w:jc w:val="both"/>
              <w:rPr>
                <w:rFonts w:asciiTheme="minorHAnsi" w:eastAsia="Calibri" w:hAnsiTheme="minorHAnsi"/>
                <w:b/>
                <w:noProof w:val="0"/>
                <w:sz w:val="20"/>
                <w:szCs w:val="20"/>
                <w:lang w:val="en-US"/>
              </w:rPr>
            </w:pPr>
            <w:r w:rsidRPr="00F45B0E">
              <w:rPr>
                <w:rFonts w:asciiTheme="minorHAnsi" w:eastAsia="Calibri" w:hAnsiTheme="minorHAnsi"/>
                <w:b/>
                <w:noProof w:val="0"/>
                <w:sz w:val="20"/>
                <w:szCs w:val="20"/>
                <w:lang w:val="en-US"/>
              </w:rPr>
              <w:t xml:space="preserve">Drafting the new guidelines through </w:t>
            </w:r>
            <w:r w:rsidR="00E679FF" w:rsidRPr="00F45B0E">
              <w:rPr>
                <w:rFonts w:asciiTheme="minorHAnsi" w:eastAsia="Calibri" w:hAnsiTheme="minorHAnsi"/>
                <w:b/>
                <w:noProof w:val="0"/>
                <w:sz w:val="20"/>
                <w:szCs w:val="20"/>
                <w:lang w:val="en-US"/>
              </w:rPr>
              <w:t xml:space="preserve">an </w:t>
            </w:r>
            <w:r w:rsidRPr="00F45B0E">
              <w:rPr>
                <w:rFonts w:asciiTheme="minorHAnsi" w:eastAsia="Calibri" w:hAnsiTheme="minorHAnsi"/>
                <w:b/>
                <w:noProof w:val="0"/>
                <w:sz w:val="20"/>
                <w:szCs w:val="20"/>
                <w:lang w:val="en-US"/>
              </w:rPr>
              <w:t>ESF project</w:t>
            </w:r>
            <w:r w:rsidR="00E679FF" w:rsidRPr="00F45B0E">
              <w:rPr>
                <w:rFonts w:asciiTheme="minorHAnsi" w:eastAsia="Calibri" w:hAnsiTheme="minorHAnsi"/>
                <w:b/>
                <w:noProof w:val="0"/>
                <w:sz w:val="20"/>
                <w:szCs w:val="20"/>
                <w:lang w:val="en-US"/>
              </w:rPr>
              <w:t xml:space="preserve"> promoted under OP ADC</w:t>
            </w:r>
          </w:p>
        </w:tc>
        <w:tc>
          <w:tcPr>
            <w:tcW w:w="2410" w:type="dxa"/>
            <w:shd w:val="clear" w:color="auto" w:fill="auto"/>
          </w:tcPr>
          <w:p w:rsidR="00F15BBB" w:rsidRPr="0003452E" w:rsidRDefault="00F15BBB" w:rsidP="00172BE7">
            <w:pPr>
              <w:ind w:hanging="18"/>
              <w:contextualSpacing/>
              <w:jc w:val="both"/>
              <w:rPr>
                <w:rFonts w:asciiTheme="minorHAnsi" w:hAnsiTheme="minorHAnsi"/>
                <w:noProof w:val="0"/>
                <w:sz w:val="20"/>
                <w:szCs w:val="20"/>
                <w:lang w:val="en-US"/>
              </w:rPr>
            </w:pP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333"/>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F45B0E" w:rsidRDefault="00F15BBB" w:rsidP="00F15BBB">
            <w:pPr>
              <w:numPr>
                <w:ilvl w:val="1"/>
                <w:numId w:val="1"/>
              </w:numPr>
              <w:contextualSpacing/>
              <w:jc w:val="both"/>
              <w:rPr>
                <w:rFonts w:asciiTheme="minorHAnsi" w:eastAsia="Calibri" w:hAnsiTheme="minorHAnsi"/>
                <w:noProof w:val="0"/>
                <w:sz w:val="20"/>
                <w:szCs w:val="20"/>
                <w:lang w:val="en-US"/>
              </w:rPr>
            </w:pPr>
            <w:r w:rsidRPr="00F45B0E">
              <w:rPr>
                <w:rFonts w:asciiTheme="minorHAnsi" w:eastAsia="Calibri" w:hAnsiTheme="minorHAnsi"/>
                <w:noProof w:val="0"/>
                <w:sz w:val="20"/>
                <w:szCs w:val="20"/>
                <w:lang w:val="en-US"/>
              </w:rPr>
              <w:t>Submission of project proposal</w:t>
            </w:r>
          </w:p>
        </w:tc>
        <w:tc>
          <w:tcPr>
            <w:tcW w:w="2410" w:type="dxa"/>
            <w:shd w:val="clear" w:color="auto" w:fill="auto"/>
          </w:tcPr>
          <w:p w:rsidR="00F15BBB" w:rsidRPr="0003452E" w:rsidRDefault="00F15BBB" w:rsidP="00301E3E">
            <w:pPr>
              <w:ind w:hanging="18"/>
              <w:contextualSpacing/>
              <w:jc w:val="both"/>
              <w:rPr>
                <w:rFonts w:asciiTheme="minorHAnsi" w:hAnsiTheme="minorHAnsi"/>
                <w:noProof w:val="0"/>
                <w:sz w:val="20"/>
                <w:szCs w:val="20"/>
                <w:lang w:val="en-US"/>
              </w:rPr>
            </w:pPr>
            <w:r w:rsidRPr="0003452E">
              <w:rPr>
                <w:rFonts w:asciiTheme="minorHAnsi" w:hAnsiTheme="minorHAnsi"/>
                <w:noProof w:val="0"/>
                <w:sz w:val="20"/>
                <w:szCs w:val="20"/>
                <w:lang w:val="en-US"/>
              </w:rPr>
              <w:t>May</w:t>
            </w:r>
            <w:r w:rsidR="00301E3E" w:rsidRPr="0003452E">
              <w:rPr>
                <w:rFonts w:asciiTheme="minorHAnsi" w:hAnsiTheme="minorHAnsi"/>
                <w:noProof w:val="0"/>
                <w:sz w:val="20"/>
                <w:szCs w:val="20"/>
                <w:lang w:val="en-US"/>
              </w:rPr>
              <w:t>/June</w:t>
            </w:r>
            <w:r w:rsidRPr="0003452E">
              <w:rPr>
                <w:rFonts w:asciiTheme="minorHAnsi" w:hAnsiTheme="minorHAnsi"/>
                <w:noProof w:val="0"/>
                <w:sz w:val="20"/>
                <w:szCs w:val="20"/>
                <w:lang w:val="en-US"/>
              </w:rPr>
              <w:t xml:space="preserve"> 2015</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0D4573" w:rsidRPr="00E977B4" w:rsidTr="00F15BBB">
        <w:trPr>
          <w:trHeight w:val="36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F45B0E" w:rsidRDefault="00BD3EDB" w:rsidP="00C733A1">
            <w:pPr>
              <w:numPr>
                <w:ilvl w:val="1"/>
                <w:numId w:val="1"/>
              </w:numPr>
              <w:contextualSpacing/>
              <w:jc w:val="both"/>
              <w:rPr>
                <w:rFonts w:asciiTheme="minorHAnsi" w:eastAsia="Calibri" w:hAnsiTheme="minorHAnsi"/>
                <w:noProof w:val="0"/>
                <w:sz w:val="20"/>
                <w:szCs w:val="20"/>
                <w:lang w:val="en-US"/>
              </w:rPr>
            </w:pPr>
            <w:r w:rsidRPr="00F45B0E">
              <w:rPr>
                <w:rFonts w:asciiTheme="minorHAnsi" w:eastAsia="Calibri" w:hAnsiTheme="minorHAnsi"/>
                <w:noProof w:val="0"/>
                <w:sz w:val="20"/>
                <w:szCs w:val="20"/>
                <w:lang w:val="en-US"/>
              </w:rPr>
              <w:t xml:space="preserve">First stage: </w:t>
            </w:r>
            <w:r w:rsidR="00D47066" w:rsidRPr="00F45B0E">
              <w:rPr>
                <w:rFonts w:asciiTheme="minorHAnsi" w:eastAsia="Calibri" w:hAnsiTheme="minorHAnsi"/>
                <w:noProof w:val="0"/>
                <w:sz w:val="20"/>
                <w:szCs w:val="20"/>
                <w:lang w:val="en-US"/>
              </w:rPr>
              <w:t>development, verification and validation of the guidelines</w:t>
            </w:r>
            <w:r w:rsidRPr="00F45B0E">
              <w:rPr>
                <w:rFonts w:asciiTheme="minorHAnsi" w:eastAsia="Calibri" w:hAnsiTheme="minorHAnsi"/>
                <w:noProof w:val="0"/>
                <w:sz w:val="20"/>
                <w:szCs w:val="20"/>
                <w:lang w:val="en-US"/>
              </w:rPr>
              <w:t xml:space="preserve"> </w:t>
            </w:r>
          </w:p>
        </w:tc>
        <w:tc>
          <w:tcPr>
            <w:tcW w:w="2410" w:type="dxa"/>
            <w:shd w:val="clear" w:color="auto" w:fill="auto"/>
          </w:tcPr>
          <w:p w:rsidR="00F15BBB" w:rsidRPr="0003452E" w:rsidRDefault="00301E3E" w:rsidP="00301E3E">
            <w:pPr>
              <w:ind w:hanging="18"/>
              <w:contextualSpacing/>
              <w:jc w:val="both"/>
              <w:rPr>
                <w:rFonts w:asciiTheme="minorHAnsi" w:hAnsiTheme="minorHAnsi"/>
                <w:noProof w:val="0"/>
                <w:sz w:val="20"/>
                <w:szCs w:val="20"/>
                <w:lang w:val="en-US"/>
              </w:rPr>
            </w:pPr>
            <w:r w:rsidRPr="0003452E">
              <w:rPr>
                <w:rFonts w:asciiTheme="minorHAnsi" w:hAnsiTheme="minorHAnsi"/>
                <w:noProof w:val="0"/>
                <w:sz w:val="20"/>
                <w:szCs w:val="20"/>
                <w:lang w:val="en-US"/>
              </w:rPr>
              <w:t>December 2015</w:t>
            </w:r>
            <w:r w:rsidR="00F94808" w:rsidRPr="0003452E">
              <w:rPr>
                <w:rFonts w:asciiTheme="minorHAnsi" w:hAnsiTheme="minorHAnsi"/>
                <w:noProof w:val="0"/>
                <w:sz w:val="20"/>
                <w:szCs w:val="20"/>
                <w:lang w:val="en-US"/>
              </w:rPr>
              <w:t xml:space="preserve"> </w:t>
            </w:r>
            <w:r w:rsidRPr="0003452E">
              <w:rPr>
                <w:rFonts w:asciiTheme="minorHAnsi" w:hAnsiTheme="minorHAnsi"/>
                <w:noProof w:val="0"/>
                <w:sz w:val="20"/>
                <w:szCs w:val="20"/>
                <w:lang w:val="en-US"/>
              </w:rPr>
              <w:t>– October  2016</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r w:rsidR="00F15BBB" w:rsidRPr="00E977B4" w:rsidTr="00F15BBB">
        <w:trPr>
          <w:trHeight w:val="366"/>
        </w:trPr>
        <w:tc>
          <w:tcPr>
            <w:tcW w:w="2556" w:type="dxa"/>
            <w:vMerge/>
            <w:shd w:val="clear" w:color="auto" w:fill="auto"/>
          </w:tcPr>
          <w:p w:rsidR="00F15BBB" w:rsidRPr="00E977B4" w:rsidRDefault="00F15BBB" w:rsidP="00172BE7">
            <w:pPr>
              <w:autoSpaceDE w:val="0"/>
              <w:autoSpaceDN w:val="0"/>
              <w:adjustRightInd w:val="0"/>
              <w:jc w:val="both"/>
              <w:rPr>
                <w:rFonts w:asciiTheme="minorHAnsi" w:hAnsiTheme="minorHAnsi"/>
                <w:noProof w:val="0"/>
                <w:sz w:val="20"/>
                <w:szCs w:val="20"/>
                <w:lang w:val="en-US"/>
              </w:rPr>
            </w:pPr>
          </w:p>
        </w:tc>
        <w:tc>
          <w:tcPr>
            <w:tcW w:w="2954" w:type="dxa"/>
            <w:vMerge/>
            <w:shd w:val="clear" w:color="auto" w:fill="auto"/>
          </w:tcPr>
          <w:p w:rsidR="00F15BBB" w:rsidRPr="00E977B4" w:rsidRDefault="00F15BBB" w:rsidP="00172BE7">
            <w:pPr>
              <w:numPr>
                <w:ilvl w:val="0"/>
                <w:numId w:val="1"/>
              </w:numPr>
              <w:ind w:left="175" w:hanging="175"/>
              <w:contextualSpacing/>
              <w:jc w:val="both"/>
              <w:rPr>
                <w:rFonts w:asciiTheme="minorHAnsi" w:eastAsia="Calibri" w:hAnsiTheme="minorHAnsi"/>
                <w:noProof w:val="0"/>
                <w:sz w:val="20"/>
                <w:szCs w:val="20"/>
                <w:lang w:val="en-US"/>
              </w:rPr>
            </w:pPr>
          </w:p>
        </w:tc>
        <w:tc>
          <w:tcPr>
            <w:tcW w:w="5547" w:type="dxa"/>
            <w:shd w:val="clear" w:color="auto" w:fill="auto"/>
          </w:tcPr>
          <w:p w:rsidR="00F15BBB" w:rsidRPr="00F45B0E" w:rsidRDefault="00D47066" w:rsidP="002D1538">
            <w:pPr>
              <w:numPr>
                <w:ilvl w:val="1"/>
                <w:numId w:val="1"/>
              </w:numPr>
              <w:contextualSpacing/>
              <w:jc w:val="both"/>
              <w:rPr>
                <w:rFonts w:asciiTheme="minorHAnsi" w:eastAsia="Calibri" w:hAnsiTheme="minorHAnsi"/>
                <w:noProof w:val="0"/>
                <w:sz w:val="20"/>
                <w:szCs w:val="20"/>
                <w:lang w:val="en-US"/>
              </w:rPr>
            </w:pPr>
            <w:r w:rsidRPr="00F45B0E">
              <w:rPr>
                <w:rFonts w:asciiTheme="minorHAnsi" w:eastAsia="Calibri" w:hAnsiTheme="minorHAnsi"/>
                <w:noProof w:val="0"/>
                <w:sz w:val="20"/>
                <w:szCs w:val="20"/>
                <w:lang w:val="en-US"/>
              </w:rPr>
              <w:t xml:space="preserve">Second stage: training the environmental authorities and </w:t>
            </w:r>
            <w:r w:rsidR="00C733A1" w:rsidRPr="00F45B0E">
              <w:rPr>
                <w:rFonts w:asciiTheme="minorHAnsi" w:eastAsia="Calibri" w:hAnsiTheme="minorHAnsi"/>
                <w:noProof w:val="0"/>
                <w:sz w:val="20"/>
                <w:szCs w:val="20"/>
                <w:lang w:val="en-US"/>
              </w:rPr>
              <w:t xml:space="preserve">guidelines </w:t>
            </w:r>
            <w:r w:rsidRPr="00F45B0E">
              <w:rPr>
                <w:rFonts w:asciiTheme="minorHAnsi" w:eastAsia="Calibri" w:hAnsiTheme="minorHAnsi"/>
                <w:noProof w:val="0"/>
                <w:sz w:val="20"/>
                <w:szCs w:val="20"/>
                <w:lang w:val="en-US"/>
              </w:rPr>
              <w:t xml:space="preserve">dissemination for the </w:t>
            </w:r>
            <w:r w:rsidR="00C733A1" w:rsidRPr="00F45B0E">
              <w:rPr>
                <w:rFonts w:asciiTheme="minorHAnsi" w:eastAsia="Calibri" w:hAnsiTheme="minorHAnsi"/>
                <w:noProof w:val="0"/>
                <w:sz w:val="20"/>
                <w:szCs w:val="20"/>
                <w:lang w:val="en-US"/>
              </w:rPr>
              <w:t xml:space="preserve">project promoters and the environmental </w:t>
            </w:r>
            <w:r w:rsidR="00C733A1" w:rsidRPr="00F45B0E">
              <w:rPr>
                <w:rFonts w:asciiTheme="minorHAnsi" w:eastAsia="Calibri" w:hAnsiTheme="minorHAnsi"/>
                <w:noProof w:val="0"/>
                <w:sz w:val="20"/>
                <w:szCs w:val="20"/>
                <w:lang w:val="en-US"/>
              </w:rPr>
              <w:lastRenderedPageBreak/>
              <w:t>consultants</w:t>
            </w:r>
            <w:r w:rsidR="002D1538" w:rsidRPr="00F45B0E">
              <w:rPr>
                <w:rFonts w:asciiTheme="minorHAnsi" w:eastAsia="Calibri" w:hAnsiTheme="minorHAnsi"/>
                <w:noProof w:val="0"/>
                <w:sz w:val="20"/>
                <w:szCs w:val="20"/>
                <w:lang w:val="en-US"/>
              </w:rPr>
              <w:t>, with  tailored approach for the new guidelines</w:t>
            </w:r>
          </w:p>
        </w:tc>
        <w:tc>
          <w:tcPr>
            <w:tcW w:w="2410" w:type="dxa"/>
            <w:shd w:val="clear" w:color="auto" w:fill="auto"/>
          </w:tcPr>
          <w:p w:rsidR="00F15BBB" w:rsidRPr="0003452E" w:rsidRDefault="002D1538" w:rsidP="00F94808">
            <w:pPr>
              <w:ind w:hanging="18"/>
              <w:contextualSpacing/>
              <w:jc w:val="both"/>
              <w:rPr>
                <w:rFonts w:asciiTheme="minorHAnsi" w:hAnsiTheme="minorHAnsi"/>
                <w:noProof w:val="0"/>
                <w:sz w:val="20"/>
                <w:szCs w:val="20"/>
                <w:lang w:val="en-US"/>
              </w:rPr>
            </w:pPr>
            <w:r w:rsidRPr="00F45B0E">
              <w:rPr>
                <w:rFonts w:asciiTheme="minorHAnsi" w:hAnsiTheme="minorHAnsi"/>
                <w:noProof w:val="0"/>
                <w:sz w:val="20"/>
                <w:szCs w:val="20"/>
                <w:lang w:val="en-US"/>
              </w:rPr>
              <w:lastRenderedPageBreak/>
              <w:t>December 2016</w:t>
            </w:r>
          </w:p>
        </w:tc>
        <w:tc>
          <w:tcPr>
            <w:tcW w:w="1417" w:type="dxa"/>
            <w:vMerge/>
            <w:shd w:val="clear" w:color="auto" w:fill="auto"/>
          </w:tcPr>
          <w:p w:rsidR="00F15BBB" w:rsidRPr="00E977B4" w:rsidRDefault="00F15BBB" w:rsidP="00172BE7">
            <w:pPr>
              <w:jc w:val="both"/>
              <w:rPr>
                <w:rFonts w:asciiTheme="minorHAnsi" w:hAnsiTheme="minorHAnsi"/>
                <w:noProof w:val="0"/>
                <w:sz w:val="20"/>
                <w:szCs w:val="20"/>
                <w:lang w:val="en-US"/>
              </w:rPr>
            </w:pPr>
          </w:p>
        </w:tc>
      </w:tr>
    </w:tbl>
    <w:p w:rsidR="006A6265" w:rsidRPr="00E977B4" w:rsidRDefault="006A6265">
      <w:pPr>
        <w:rPr>
          <w:rFonts w:asciiTheme="minorHAnsi" w:hAnsiTheme="minorHAnsi"/>
          <w:lang w:val="en-US"/>
        </w:rPr>
      </w:pPr>
    </w:p>
    <w:p w:rsidR="00122CF7" w:rsidRPr="00E977B4" w:rsidRDefault="00122CF7">
      <w:pPr>
        <w:rPr>
          <w:rFonts w:asciiTheme="minorHAnsi" w:hAnsiTheme="minorHAnsi"/>
          <w:lang w:val="en-US"/>
        </w:rPr>
      </w:pPr>
    </w:p>
    <w:p w:rsidR="00010757" w:rsidRPr="00E977B4" w:rsidRDefault="00010757" w:rsidP="00DD3914">
      <w:pPr>
        <w:pStyle w:val="ListParagraph"/>
        <w:ind w:left="175"/>
        <w:jc w:val="both"/>
        <w:rPr>
          <w:rFonts w:asciiTheme="minorHAnsi" w:hAnsiTheme="minorHAnsi"/>
          <w:b/>
          <w:lang w:val="en-US"/>
        </w:rPr>
      </w:pPr>
    </w:p>
    <w:p w:rsidR="00010757" w:rsidRPr="00AF3E0F" w:rsidRDefault="00010757" w:rsidP="00AF3E0F">
      <w:pPr>
        <w:jc w:val="both"/>
        <w:rPr>
          <w:rFonts w:asciiTheme="minorHAnsi" w:hAnsiTheme="minorHAnsi"/>
          <w:b/>
          <w:lang w:val="en-US"/>
        </w:rPr>
        <w:sectPr w:rsidR="00010757" w:rsidRPr="00AF3E0F" w:rsidSect="00AF3E0F">
          <w:footerReference w:type="default" r:id="rId9"/>
          <w:pgSz w:w="16838" w:h="11906" w:orient="landscape"/>
          <w:pgMar w:top="1135" w:right="1417" w:bottom="1417" w:left="1417" w:header="708" w:footer="708" w:gutter="0"/>
          <w:cols w:space="708"/>
          <w:docGrid w:linePitch="360"/>
        </w:sectPr>
      </w:pPr>
    </w:p>
    <w:p w:rsidR="00937348" w:rsidRPr="00937348" w:rsidRDefault="00937348" w:rsidP="00937348">
      <w:pPr>
        <w:autoSpaceDE w:val="0"/>
        <w:autoSpaceDN w:val="0"/>
        <w:adjustRightInd w:val="0"/>
        <w:jc w:val="center"/>
        <w:rPr>
          <w:rFonts w:ascii="Calibri" w:hAnsi="Calibri"/>
          <w:b/>
        </w:rPr>
      </w:pPr>
      <w:r w:rsidRPr="00937348">
        <w:rPr>
          <w:rFonts w:ascii="Calibri" w:hAnsi="Calibri"/>
          <w:b/>
        </w:rPr>
        <w:lastRenderedPageBreak/>
        <w:t>Working methodology to be applied for fulfillment of ex-ante conditionality</w:t>
      </w:r>
    </w:p>
    <w:p w:rsidR="00937348" w:rsidRPr="00E068F1" w:rsidRDefault="00937348" w:rsidP="00937348">
      <w:pPr>
        <w:autoSpaceDE w:val="0"/>
        <w:autoSpaceDN w:val="0"/>
        <w:adjustRightInd w:val="0"/>
        <w:jc w:val="center"/>
        <w:rPr>
          <w:rFonts w:ascii="Calibri" w:hAnsi="Calibri"/>
          <w:b/>
          <w:sz w:val="28"/>
          <w:szCs w:val="28"/>
        </w:rPr>
      </w:pPr>
    </w:p>
    <w:p w:rsidR="00AF3E0F" w:rsidRPr="00347DC9" w:rsidRDefault="00AF3E0F" w:rsidP="00AF3E0F">
      <w:pPr>
        <w:spacing w:before="120"/>
        <w:ind w:firstLine="20"/>
        <w:jc w:val="both"/>
        <w:outlineLvl w:val="0"/>
        <w:rPr>
          <w:rFonts w:asciiTheme="minorHAnsi" w:hAnsiTheme="minorHAnsi" w:cs="Arial"/>
          <w:lang w:val="en-US"/>
        </w:rPr>
      </w:pPr>
      <w:r w:rsidRPr="00347DC9">
        <w:rPr>
          <w:rFonts w:asciiTheme="minorHAnsi" w:hAnsiTheme="minorHAnsi" w:cs="Arial"/>
          <w:lang w:val="en-US"/>
        </w:rPr>
        <w:t xml:space="preserve">The current action plan is designed to answer to </w:t>
      </w:r>
      <w:r w:rsidR="00937348" w:rsidRPr="00347DC9">
        <w:rPr>
          <w:rFonts w:asciiTheme="minorHAnsi" w:hAnsiTheme="minorHAnsi" w:cs="Arial"/>
          <w:lang w:val="en-US"/>
        </w:rPr>
        <w:t>unfulfill</w:t>
      </w:r>
      <w:r w:rsidR="005A6F45" w:rsidRPr="00347DC9">
        <w:rPr>
          <w:rFonts w:asciiTheme="minorHAnsi" w:hAnsiTheme="minorHAnsi" w:cs="Arial"/>
          <w:lang w:val="en-US"/>
        </w:rPr>
        <w:t>ed criterion</w:t>
      </w:r>
      <w:r w:rsidRPr="00347DC9">
        <w:rPr>
          <w:rFonts w:asciiTheme="minorHAnsi" w:hAnsiTheme="minorHAnsi" w:cs="Arial"/>
          <w:lang w:val="en-US"/>
        </w:rPr>
        <w:t xml:space="preserve"> </w:t>
      </w:r>
      <w:r w:rsidR="005A6F45" w:rsidRPr="00347DC9">
        <w:rPr>
          <w:rFonts w:asciiTheme="minorHAnsi" w:hAnsiTheme="minorHAnsi" w:cs="Arial"/>
          <w:lang w:val="en-US"/>
        </w:rPr>
        <w:t>“</w:t>
      </w:r>
      <w:r w:rsidRPr="00347DC9">
        <w:rPr>
          <w:rFonts w:asciiTheme="minorHAnsi" w:hAnsiTheme="minorHAnsi" w:cs="Arial"/>
          <w:lang w:val="en-US"/>
        </w:rPr>
        <w:t>Arrangements for training and dissemination of information for staff involved in the implementation of EIA and SEA Directives</w:t>
      </w:r>
      <w:r w:rsidR="005A6F45" w:rsidRPr="00347DC9">
        <w:rPr>
          <w:rFonts w:asciiTheme="minorHAnsi" w:hAnsiTheme="minorHAnsi" w:cs="Arial"/>
          <w:lang w:val="en-US"/>
        </w:rPr>
        <w:t>”</w:t>
      </w:r>
      <w:r w:rsidRPr="00347DC9">
        <w:rPr>
          <w:rFonts w:asciiTheme="minorHAnsi" w:hAnsiTheme="minorHAnsi" w:cs="Arial"/>
          <w:lang w:val="en-US"/>
        </w:rPr>
        <w:t xml:space="preserve"> of the </w:t>
      </w:r>
      <w:r w:rsidRPr="00347DC9">
        <w:rPr>
          <w:rFonts w:asciiTheme="minorHAnsi" w:hAnsiTheme="minorHAnsi" w:cs="Arial"/>
          <w:i/>
          <w:lang w:val="en-US"/>
        </w:rPr>
        <w:t>EAC G6 Environmental legislation relating to Environmental Impact Assessment (EIA) and, Strategic Environmental Assessment (SEA).</w:t>
      </w:r>
    </w:p>
    <w:p w:rsidR="00AF3E0F" w:rsidRDefault="00AF3E0F" w:rsidP="00AF3E0F">
      <w:pPr>
        <w:spacing w:before="120"/>
        <w:ind w:firstLine="20"/>
        <w:jc w:val="both"/>
        <w:outlineLvl w:val="0"/>
        <w:rPr>
          <w:rFonts w:asciiTheme="minorHAnsi" w:hAnsiTheme="minorHAnsi" w:cs="Arial"/>
          <w:lang w:val="en-US"/>
        </w:rPr>
      </w:pPr>
      <w:r w:rsidRPr="00347DC9">
        <w:rPr>
          <w:rFonts w:asciiTheme="minorHAnsi" w:hAnsiTheme="minorHAnsi" w:cs="Arial"/>
          <w:lang w:val="en-US"/>
        </w:rPr>
        <w:t xml:space="preserve">The main issues covered by the proposed actions are to provide adequate training to </w:t>
      </w:r>
      <w:r w:rsidR="00347DC9" w:rsidRPr="00347DC9">
        <w:rPr>
          <w:rFonts w:asciiTheme="minorHAnsi" w:hAnsiTheme="minorHAnsi" w:cs="Arial"/>
          <w:lang w:val="en-US"/>
        </w:rPr>
        <w:t>environmental agencies as well managing authorities and dissemination to beneficiaries and consultants</w:t>
      </w:r>
      <w:r w:rsidR="00937348" w:rsidRPr="00347DC9">
        <w:rPr>
          <w:rFonts w:asciiTheme="minorHAnsi" w:hAnsiTheme="minorHAnsi" w:cs="Arial"/>
          <w:lang w:val="en-US"/>
        </w:rPr>
        <w:t>. Training sessions and dissemination events will integrate a</w:t>
      </w:r>
      <w:r w:rsidR="005A6F45" w:rsidRPr="00347DC9">
        <w:rPr>
          <w:rFonts w:asciiTheme="minorHAnsi" w:hAnsiTheme="minorHAnsi" w:cs="Arial"/>
          <w:lang w:val="en-US"/>
        </w:rPr>
        <w:t>nd explai</w:t>
      </w:r>
      <w:r w:rsidR="00937348" w:rsidRPr="00347DC9">
        <w:rPr>
          <w:rFonts w:asciiTheme="minorHAnsi" w:hAnsiTheme="minorHAnsi" w:cs="Arial"/>
          <w:lang w:val="en-US"/>
        </w:rPr>
        <w:t>n the use of guid</w:t>
      </w:r>
      <w:r w:rsidR="00546FC4" w:rsidRPr="00347DC9">
        <w:rPr>
          <w:rFonts w:asciiTheme="minorHAnsi" w:hAnsiTheme="minorHAnsi" w:cs="Arial"/>
          <w:lang w:val="en-US"/>
        </w:rPr>
        <w:t>elines drafted in this regard, with the aim of ensuring that beneficiaries and consultants are aware of guidelines existance, wh</w:t>
      </w:r>
      <w:r w:rsidR="005A6F45" w:rsidRPr="00347DC9">
        <w:rPr>
          <w:rFonts w:asciiTheme="minorHAnsi" w:hAnsiTheme="minorHAnsi" w:cs="Arial"/>
          <w:lang w:val="en-US"/>
        </w:rPr>
        <w:t>ile environmental authorities perform</w:t>
      </w:r>
      <w:r w:rsidR="00546FC4" w:rsidRPr="00347DC9">
        <w:rPr>
          <w:rFonts w:asciiTheme="minorHAnsi" w:hAnsiTheme="minorHAnsi" w:cs="Arial"/>
          <w:lang w:val="en-US"/>
        </w:rPr>
        <w:t xml:space="preserve"> a quality and consistent assessment of environmental reports.</w:t>
      </w:r>
    </w:p>
    <w:p w:rsidR="00AF3E0F" w:rsidRPr="00AF3E0F" w:rsidRDefault="00AF3E0F" w:rsidP="00AF3E0F">
      <w:pPr>
        <w:spacing w:before="120"/>
        <w:ind w:firstLine="20"/>
        <w:jc w:val="both"/>
        <w:outlineLvl w:val="0"/>
        <w:rPr>
          <w:rFonts w:asciiTheme="minorHAnsi" w:hAnsiTheme="minorHAnsi" w:cs="Arial"/>
          <w:lang w:val="en-US"/>
        </w:rPr>
      </w:pPr>
    </w:p>
    <w:p w:rsidR="00122CF7" w:rsidRPr="00AF3E0F" w:rsidRDefault="00DF43D0" w:rsidP="00AF3E0F">
      <w:pPr>
        <w:pStyle w:val="ListParagraph"/>
        <w:numPr>
          <w:ilvl w:val="0"/>
          <w:numId w:val="15"/>
        </w:numPr>
        <w:spacing w:before="120"/>
        <w:jc w:val="both"/>
        <w:rPr>
          <w:rFonts w:asciiTheme="minorHAnsi" w:hAnsiTheme="minorHAnsi"/>
          <w:b/>
          <w:color w:val="17365D" w:themeColor="text2" w:themeShade="BF"/>
          <w:lang w:val="en-US"/>
        </w:rPr>
      </w:pPr>
      <w:r w:rsidRPr="00AF3E0F">
        <w:rPr>
          <w:rFonts w:asciiTheme="minorHAnsi" w:hAnsiTheme="minorHAnsi"/>
          <w:b/>
          <w:color w:val="17365D" w:themeColor="text2" w:themeShade="BF"/>
          <w:lang w:val="en-US"/>
        </w:rPr>
        <w:t>Details regarding the assessment of the current use of guidelines by local environmental agencies</w:t>
      </w:r>
    </w:p>
    <w:p w:rsidR="00E977B4" w:rsidRPr="00A35011" w:rsidRDefault="00EB2BEE" w:rsidP="00B463F3">
      <w:pPr>
        <w:autoSpaceDE w:val="0"/>
        <w:autoSpaceDN w:val="0"/>
        <w:adjustRightInd w:val="0"/>
        <w:spacing w:after="120"/>
        <w:jc w:val="both"/>
        <w:rPr>
          <w:rFonts w:asciiTheme="minorHAnsi" w:hAnsiTheme="minorHAnsi" w:cs="Arial"/>
          <w:lang w:val="en-US"/>
        </w:rPr>
      </w:pPr>
      <w:r w:rsidRPr="00A35011">
        <w:rPr>
          <w:rFonts w:asciiTheme="minorHAnsi" w:hAnsiTheme="minorHAnsi" w:cs="Arial"/>
          <w:lang w:val="en-US"/>
        </w:rPr>
        <w:t xml:space="preserve">The EIA Directive was transposed into the national law </w:t>
      </w:r>
      <w:r w:rsidR="00B463F3">
        <w:rPr>
          <w:rFonts w:asciiTheme="minorHAnsi" w:hAnsiTheme="minorHAnsi" w:cs="Arial"/>
          <w:lang w:val="en-US"/>
        </w:rPr>
        <w:t>through</w:t>
      </w:r>
      <w:r w:rsidRPr="00A35011">
        <w:rPr>
          <w:rFonts w:asciiTheme="minorHAnsi" w:hAnsiTheme="minorHAnsi" w:cs="Arial"/>
          <w:lang w:val="en-US"/>
        </w:rPr>
        <w:t xml:space="preserve"> GD no. 445/2009 on environmental impact assessment pertaining to certain public and private projects, with modifications as amended and supplemented, and SEA Directive was transposed in 2004 </w:t>
      </w:r>
      <w:r w:rsidR="00B463F3">
        <w:rPr>
          <w:rFonts w:asciiTheme="minorHAnsi" w:hAnsiTheme="minorHAnsi" w:cs="Arial"/>
          <w:lang w:val="en-US"/>
        </w:rPr>
        <w:t>through</w:t>
      </w:r>
      <w:r w:rsidR="00B463F3" w:rsidRPr="00A35011">
        <w:rPr>
          <w:rFonts w:asciiTheme="minorHAnsi" w:hAnsiTheme="minorHAnsi" w:cs="Arial"/>
          <w:lang w:val="en-US"/>
        </w:rPr>
        <w:t xml:space="preserve"> </w:t>
      </w:r>
      <w:r w:rsidRPr="00A35011">
        <w:rPr>
          <w:rFonts w:asciiTheme="minorHAnsi" w:hAnsiTheme="minorHAnsi" w:cs="Arial"/>
          <w:lang w:val="en-US"/>
        </w:rPr>
        <w:t>GD no. 1076/2004 concerning the procedure for environmental assessment of plans and programs.</w:t>
      </w:r>
    </w:p>
    <w:p w:rsidR="003A704E" w:rsidRPr="00A35011" w:rsidRDefault="003A704E" w:rsidP="00EB2BEE">
      <w:pPr>
        <w:autoSpaceDE w:val="0"/>
        <w:autoSpaceDN w:val="0"/>
        <w:adjustRightInd w:val="0"/>
        <w:jc w:val="both"/>
        <w:rPr>
          <w:rFonts w:asciiTheme="minorHAnsi" w:hAnsiTheme="minorHAnsi" w:cs="Arial"/>
          <w:lang w:val="en-US"/>
        </w:rPr>
      </w:pPr>
      <w:r w:rsidRPr="00A35011">
        <w:rPr>
          <w:rFonts w:asciiTheme="minorHAnsi" w:hAnsiTheme="minorHAnsi" w:cs="Arial"/>
          <w:lang w:val="en-US"/>
        </w:rPr>
        <w:t>Based on those legislative acts, subsequent legislaion was approved. This envisage:</w:t>
      </w:r>
    </w:p>
    <w:p w:rsidR="00FD147F" w:rsidRPr="00A35011" w:rsidRDefault="003A704E" w:rsidP="0009678F">
      <w:pPr>
        <w:pStyle w:val="ListParagraph"/>
        <w:numPr>
          <w:ilvl w:val="0"/>
          <w:numId w:val="2"/>
        </w:numPr>
        <w:spacing w:before="120"/>
        <w:jc w:val="both"/>
        <w:outlineLvl w:val="0"/>
        <w:rPr>
          <w:rFonts w:asciiTheme="minorHAnsi" w:hAnsiTheme="minorHAnsi" w:cs="Arial"/>
          <w:color w:val="222222"/>
          <w:lang w:val="en-US"/>
        </w:rPr>
      </w:pPr>
      <w:r w:rsidRPr="00A35011">
        <w:rPr>
          <w:rFonts w:asciiTheme="minorHAnsi" w:hAnsiTheme="minorHAnsi" w:cs="Arial"/>
          <w:lang w:val="en-US"/>
        </w:rPr>
        <w:t xml:space="preserve">methodology for implementing EIA for public and private projects (Order </w:t>
      </w:r>
      <w:r w:rsidR="00B463F3">
        <w:rPr>
          <w:rFonts w:asciiTheme="minorHAnsi" w:hAnsiTheme="minorHAnsi" w:cs="Arial"/>
          <w:lang w:val="en-US"/>
        </w:rPr>
        <w:t xml:space="preserve">No </w:t>
      </w:r>
      <w:r w:rsidRPr="00A35011">
        <w:rPr>
          <w:rFonts w:asciiTheme="minorHAnsi" w:hAnsiTheme="minorHAnsi" w:cs="Arial"/>
          <w:lang w:val="en-US"/>
        </w:rPr>
        <w:t>135/</w:t>
      </w:r>
      <w:r w:rsidR="000D5637" w:rsidRPr="00A35011">
        <w:rPr>
          <w:rFonts w:asciiTheme="minorHAnsi" w:hAnsiTheme="minorHAnsi" w:cs="Arial"/>
          <w:lang w:val="en-US"/>
        </w:rPr>
        <w:t xml:space="preserve">76/84/1284/2010); </w:t>
      </w:r>
    </w:p>
    <w:p w:rsidR="008A29D4" w:rsidRPr="00A35011" w:rsidRDefault="008A29D4" w:rsidP="008A29D4">
      <w:pPr>
        <w:pStyle w:val="ListParagraph"/>
        <w:numPr>
          <w:ilvl w:val="0"/>
          <w:numId w:val="2"/>
        </w:numPr>
        <w:spacing w:before="120"/>
        <w:jc w:val="both"/>
        <w:outlineLvl w:val="0"/>
        <w:rPr>
          <w:rFonts w:asciiTheme="minorHAnsi" w:hAnsiTheme="minorHAnsi" w:cs="Arial"/>
          <w:color w:val="222222"/>
          <w:lang w:val="en-US"/>
        </w:rPr>
      </w:pPr>
      <w:r w:rsidRPr="00A35011">
        <w:rPr>
          <w:rFonts w:asciiTheme="minorHAnsi" w:hAnsiTheme="minorHAnsi" w:cs="Arial"/>
          <w:color w:val="222222"/>
          <w:lang w:val="en-US"/>
        </w:rPr>
        <w:t xml:space="preserve">ensure the quality of information used in the EIA/SEA procedures (Order </w:t>
      </w:r>
      <w:r w:rsidR="00B463F3">
        <w:rPr>
          <w:rFonts w:asciiTheme="minorHAnsi" w:hAnsiTheme="minorHAnsi" w:cs="Arial"/>
          <w:color w:val="222222"/>
          <w:lang w:val="en-US"/>
        </w:rPr>
        <w:t>No</w:t>
      </w:r>
      <w:r w:rsidRPr="00A35011">
        <w:rPr>
          <w:rFonts w:asciiTheme="minorHAnsi" w:hAnsiTheme="minorHAnsi" w:cs="Arial"/>
          <w:color w:val="222222"/>
          <w:lang w:val="en-US"/>
        </w:rPr>
        <w:t xml:space="preserve"> 1026/2009 approving the conditions for the development of the environmental report, environmental impact report, environmental audit, site safety report and the proper evaluation study - which establishes the procedure by which the experts are registered in the Experts National Register who prepare EIA, SEA, EA reports);</w:t>
      </w:r>
    </w:p>
    <w:p w:rsidR="007A33E6" w:rsidRPr="00A35011" w:rsidRDefault="00FD5D94" w:rsidP="00FD5D94">
      <w:pPr>
        <w:pStyle w:val="ListParagraph"/>
        <w:numPr>
          <w:ilvl w:val="0"/>
          <w:numId w:val="2"/>
        </w:numPr>
        <w:spacing w:before="120"/>
        <w:jc w:val="both"/>
        <w:outlineLvl w:val="0"/>
        <w:rPr>
          <w:rFonts w:asciiTheme="minorHAnsi" w:hAnsiTheme="minorHAnsi" w:cs="Arial"/>
          <w:color w:val="222222"/>
          <w:lang w:val="en-US"/>
        </w:rPr>
      </w:pPr>
      <w:r w:rsidRPr="00A35011">
        <w:rPr>
          <w:rFonts w:asciiTheme="minorHAnsi" w:hAnsiTheme="minorHAnsi" w:cs="Arial"/>
          <w:color w:val="222222"/>
          <w:lang w:val="en-US"/>
        </w:rPr>
        <w:t xml:space="preserve">application of the environmental assessment procedure for plans and programs (Order </w:t>
      </w:r>
      <w:r w:rsidR="00B463F3">
        <w:rPr>
          <w:rFonts w:asciiTheme="minorHAnsi" w:hAnsiTheme="minorHAnsi" w:cs="Arial"/>
          <w:color w:val="222222"/>
          <w:lang w:val="en-US"/>
        </w:rPr>
        <w:t>No</w:t>
      </w:r>
      <w:r w:rsidRPr="00A35011">
        <w:rPr>
          <w:rFonts w:asciiTheme="minorHAnsi" w:hAnsiTheme="minorHAnsi" w:cs="Arial"/>
          <w:color w:val="222222"/>
          <w:lang w:val="en-US"/>
        </w:rPr>
        <w:t xml:space="preserve"> 117/2006 approving the Manual on the application of the environmental assessment procedure for plans and programs, which is based on the Commission's Guidance on the implementation of Directive 2001/42/EC).</w:t>
      </w:r>
    </w:p>
    <w:p w:rsidR="00FD5D94" w:rsidRPr="009336D9" w:rsidRDefault="0005151E" w:rsidP="00587DE2">
      <w:pPr>
        <w:pStyle w:val="ListParagraph"/>
        <w:numPr>
          <w:ilvl w:val="0"/>
          <w:numId w:val="2"/>
        </w:numPr>
        <w:spacing w:before="120"/>
        <w:jc w:val="both"/>
        <w:outlineLvl w:val="0"/>
        <w:rPr>
          <w:rFonts w:asciiTheme="minorHAnsi" w:hAnsiTheme="minorHAnsi" w:cs="Arial"/>
          <w:color w:val="222222"/>
          <w:lang w:val="en-US"/>
        </w:rPr>
      </w:pPr>
      <w:r w:rsidRPr="009336D9">
        <w:rPr>
          <w:rFonts w:asciiTheme="minorHAnsi" w:hAnsiTheme="minorHAnsi" w:cs="Arial"/>
          <w:color w:val="222222"/>
          <w:lang w:val="en-US"/>
        </w:rPr>
        <w:t>appropriate assessment procedure of the potential effects</w:t>
      </w:r>
      <w:r w:rsidR="00587DE2" w:rsidRPr="009336D9">
        <w:rPr>
          <w:rFonts w:asciiTheme="minorHAnsi" w:hAnsiTheme="minorHAnsi" w:cs="Arial"/>
          <w:color w:val="222222"/>
          <w:lang w:val="en-US"/>
        </w:rPr>
        <w:t xml:space="preserve"> of plans or projects on Natura</w:t>
      </w:r>
      <w:r w:rsidRPr="009336D9">
        <w:rPr>
          <w:rFonts w:asciiTheme="minorHAnsi" w:hAnsiTheme="minorHAnsi" w:cs="Arial"/>
          <w:color w:val="222222"/>
          <w:lang w:val="en-US"/>
        </w:rPr>
        <w:t xml:space="preserve"> </w:t>
      </w:r>
      <w:r w:rsidR="00587DE2" w:rsidRPr="009336D9">
        <w:rPr>
          <w:rFonts w:asciiTheme="minorHAnsi" w:hAnsiTheme="minorHAnsi" w:cs="Arial"/>
          <w:color w:val="222222"/>
          <w:lang w:val="en-US"/>
        </w:rPr>
        <w:t>2000 sites</w:t>
      </w:r>
      <w:r w:rsidRPr="009336D9">
        <w:rPr>
          <w:rFonts w:asciiTheme="minorHAnsi" w:hAnsiTheme="minorHAnsi" w:cs="Arial"/>
          <w:color w:val="222222"/>
          <w:lang w:val="en-US"/>
        </w:rPr>
        <w:t xml:space="preserve"> (</w:t>
      </w:r>
      <w:r w:rsidR="00FD5D94" w:rsidRPr="009336D9">
        <w:rPr>
          <w:rFonts w:asciiTheme="minorHAnsi" w:hAnsiTheme="minorHAnsi" w:cs="Arial"/>
          <w:color w:val="222222"/>
          <w:lang w:val="en-US"/>
        </w:rPr>
        <w:t xml:space="preserve">Order </w:t>
      </w:r>
      <w:r w:rsidR="00B463F3">
        <w:rPr>
          <w:rFonts w:asciiTheme="minorHAnsi" w:hAnsiTheme="minorHAnsi" w:cs="Arial"/>
          <w:color w:val="222222"/>
          <w:lang w:val="en-US"/>
        </w:rPr>
        <w:t xml:space="preserve">No </w:t>
      </w:r>
      <w:r w:rsidR="00FD5D94" w:rsidRPr="009336D9">
        <w:rPr>
          <w:rFonts w:asciiTheme="minorHAnsi" w:hAnsiTheme="minorHAnsi" w:cs="Arial"/>
          <w:color w:val="222222"/>
          <w:lang w:val="en-US"/>
        </w:rPr>
        <w:t>19/2010 approving the methodological guideline for appropriate assessment procedure of the potential effects of plans or projects on natural protected areas of community interest</w:t>
      </w:r>
      <w:r w:rsidRPr="009336D9">
        <w:rPr>
          <w:rFonts w:asciiTheme="minorHAnsi" w:hAnsiTheme="minorHAnsi" w:cs="Arial"/>
          <w:color w:val="222222"/>
          <w:lang w:val="en-US"/>
        </w:rPr>
        <w:t>).</w:t>
      </w:r>
      <w:r w:rsidR="009336D9">
        <w:rPr>
          <w:rFonts w:asciiTheme="minorHAnsi" w:hAnsiTheme="minorHAnsi" w:cs="Arial"/>
          <w:color w:val="222222"/>
          <w:lang w:val="en-US"/>
        </w:rPr>
        <w:t xml:space="preserve"> The a</w:t>
      </w:r>
      <w:r w:rsidR="00587DE2" w:rsidRPr="009336D9">
        <w:rPr>
          <w:rFonts w:asciiTheme="minorHAnsi" w:hAnsiTheme="minorHAnsi" w:cs="Arial"/>
          <w:color w:val="222222"/>
          <w:lang w:val="en-US"/>
        </w:rPr>
        <w:t>ppropriate assessment procedure</w:t>
      </w:r>
      <w:r w:rsidR="009336D9">
        <w:rPr>
          <w:rFonts w:asciiTheme="minorHAnsi" w:hAnsiTheme="minorHAnsi" w:cs="Arial"/>
          <w:color w:val="222222"/>
          <w:lang w:val="en-US"/>
        </w:rPr>
        <w:t xml:space="preserve"> is part of EIA/SEA</w:t>
      </w:r>
      <w:r w:rsidR="00587DE2" w:rsidRPr="009336D9">
        <w:rPr>
          <w:rFonts w:asciiTheme="minorHAnsi" w:hAnsiTheme="minorHAnsi" w:cs="Arial"/>
          <w:color w:val="222222"/>
          <w:lang w:val="en-US"/>
        </w:rPr>
        <w:t xml:space="preserve"> procedure developed for project and plans</w:t>
      </w:r>
      <w:r w:rsidR="009336D9">
        <w:rPr>
          <w:rFonts w:asciiTheme="minorHAnsi" w:hAnsiTheme="minorHAnsi" w:cs="Arial"/>
          <w:color w:val="222222"/>
          <w:lang w:val="en-US"/>
        </w:rPr>
        <w:t>.</w:t>
      </w:r>
    </w:p>
    <w:p w:rsidR="0005151E" w:rsidRPr="00A35011" w:rsidRDefault="0005151E" w:rsidP="0009678F">
      <w:pPr>
        <w:spacing w:before="120"/>
        <w:jc w:val="both"/>
        <w:rPr>
          <w:rFonts w:asciiTheme="minorHAnsi" w:hAnsiTheme="minorHAnsi"/>
          <w:lang w:val="en-US"/>
        </w:rPr>
      </w:pPr>
      <w:r w:rsidRPr="00A35011">
        <w:rPr>
          <w:rFonts w:asciiTheme="minorHAnsi" w:hAnsiTheme="minorHAnsi"/>
          <w:lang w:val="en-US"/>
        </w:rPr>
        <w:t>Simultaneously, in order to detail the application of the EIA procedures</w:t>
      </w:r>
      <w:r w:rsidR="00EF7C09" w:rsidRPr="00A35011">
        <w:rPr>
          <w:rFonts w:asciiTheme="minorHAnsi" w:hAnsiTheme="minorHAnsi"/>
          <w:lang w:val="en-US"/>
        </w:rPr>
        <w:t xml:space="preserve"> </w:t>
      </w:r>
      <w:r w:rsidR="00C32F70" w:rsidRPr="00A35011">
        <w:rPr>
          <w:rFonts w:asciiTheme="minorHAnsi" w:hAnsiTheme="minorHAnsi"/>
          <w:lang w:val="en-US"/>
        </w:rPr>
        <w:t>for projects prepared for EU funding</w:t>
      </w:r>
      <w:r w:rsidRPr="00A35011">
        <w:rPr>
          <w:rFonts w:asciiTheme="minorHAnsi" w:hAnsiTheme="minorHAnsi"/>
          <w:lang w:val="en-US"/>
        </w:rPr>
        <w:t>, 7 gudelines was elaborated with JASPERS support:</w:t>
      </w:r>
    </w:p>
    <w:p w:rsidR="0005151E"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0" w:tgtFrame="_blank" w:history="1">
        <w:r w:rsidR="00C32F70" w:rsidRPr="00A35011">
          <w:rPr>
            <w:rFonts w:asciiTheme="minorHAnsi" w:hAnsiTheme="minorHAnsi" w:cs="Arial"/>
            <w:color w:val="222222"/>
            <w:lang w:val="en-US"/>
          </w:rPr>
          <w:t>groundwater abstraction and drinking water supply networks</w:t>
        </w:r>
      </w:hyperlink>
      <w:r w:rsidR="00D87B13" w:rsidRPr="00A35011">
        <w:rPr>
          <w:rFonts w:asciiTheme="minorHAnsi" w:hAnsiTheme="minorHAnsi" w:cs="Arial"/>
          <w:color w:val="222222"/>
          <w:lang w:val="en-US"/>
        </w:rPr>
        <w:t>;</w:t>
      </w:r>
    </w:p>
    <w:p w:rsidR="00122CF7"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1" w:tgtFrame="_blank" w:history="1">
        <w:r w:rsidR="00C32F70" w:rsidRPr="00A35011">
          <w:rPr>
            <w:rFonts w:asciiTheme="minorHAnsi" w:hAnsiTheme="minorHAnsi" w:cs="Arial"/>
            <w:color w:val="222222"/>
            <w:lang w:val="en-US"/>
          </w:rPr>
          <w:t>wastewater</w:t>
        </w:r>
      </w:hyperlink>
      <w:r w:rsidR="00C32F70" w:rsidRPr="00A35011">
        <w:rPr>
          <w:rFonts w:asciiTheme="minorHAnsi" w:hAnsiTheme="minorHAnsi" w:cs="Arial"/>
          <w:color w:val="222222"/>
          <w:lang w:val="en-US"/>
        </w:rPr>
        <w:t xml:space="preserve"> projects</w:t>
      </w:r>
      <w:r w:rsidR="00D87B13" w:rsidRPr="00A35011">
        <w:rPr>
          <w:rFonts w:asciiTheme="minorHAnsi" w:hAnsiTheme="minorHAnsi" w:cs="Arial"/>
          <w:color w:val="222222"/>
          <w:lang w:val="en-US"/>
        </w:rPr>
        <w:t>;</w:t>
      </w:r>
    </w:p>
    <w:p w:rsidR="00122CF7"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2" w:tgtFrame="_blank" w:history="1">
        <w:r w:rsidR="00C32F70" w:rsidRPr="00A35011">
          <w:rPr>
            <w:rFonts w:asciiTheme="minorHAnsi" w:hAnsiTheme="minorHAnsi" w:cs="Arial"/>
            <w:color w:val="222222"/>
            <w:lang w:val="en-US"/>
          </w:rPr>
          <w:t>flood prevention</w:t>
        </w:r>
      </w:hyperlink>
      <w:r w:rsidR="00C32F70" w:rsidRPr="00A35011">
        <w:rPr>
          <w:rFonts w:asciiTheme="minorHAnsi" w:hAnsiTheme="minorHAnsi" w:cs="Arial"/>
          <w:color w:val="222222"/>
          <w:lang w:val="en-US"/>
        </w:rPr>
        <w:t xml:space="preserve"> and/or protection project</w:t>
      </w:r>
      <w:r w:rsidR="00D87B13" w:rsidRPr="00A35011">
        <w:rPr>
          <w:rFonts w:asciiTheme="minorHAnsi" w:hAnsiTheme="minorHAnsi" w:cs="Arial"/>
          <w:color w:val="222222"/>
          <w:lang w:val="en-US"/>
        </w:rPr>
        <w:t>s;</w:t>
      </w:r>
      <w:r w:rsidR="00122CF7" w:rsidRPr="00A35011">
        <w:rPr>
          <w:rFonts w:asciiTheme="minorHAnsi" w:hAnsiTheme="minorHAnsi" w:cs="Arial"/>
          <w:color w:val="222222"/>
          <w:lang w:val="en-US"/>
        </w:rPr>
        <w:t xml:space="preserve"> </w:t>
      </w:r>
    </w:p>
    <w:p w:rsidR="00122CF7"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3" w:tgtFrame="_blank" w:history="1">
        <w:r w:rsidR="00C32F70" w:rsidRPr="00A35011">
          <w:rPr>
            <w:rFonts w:asciiTheme="minorHAnsi" w:hAnsiTheme="minorHAnsi" w:cs="Arial"/>
            <w:color w:val="222222"/>
            <w:lang w:val="en-US"/>
          </w:rPr>
          <w:t>integrated waste management</w:t>
        </w:r>
      </w:hyperlink>
      <w:r w:rsidR="00D87B13" w:rsidRPr="00A35011">
        <w:rPr>
          <w:rFonts w:asciiTheme="minorHAnsi" w:hAnsiTheme="minorHAnsi" w:cs="Arial"/>
          <w:color w:val="222222"/>
          <w:lang w:val="en-US"/>
        </w:rPr>
        <w:t xml:space="preserve"> projects;</w:t>
      </w:r>
    </w:p>
    <w:p w:rsidR="00122CF7" w:rsidRPr="00A35011" w:rsidRDefault="00C32F70" w:rsidP="009556B7">
      <w:pPr>
        <w:pStyle w:val="ListParagraph"/>
        <w:numPr>
          <w:ilvl w:val="0"/>
          <w:numId w:val="2"/>
        </w:numPr>
        <w:spacing w:before="120"/>
        <w:jc w:val="both"/>
        <w:outlineLvl w:val="0"/>
        <w:rPr>
          <w:rFonts w:asciiTheme="minorHAnsi" w:hAnsiTheme="minorHAnsi" w:cs="Arial"/>
          <w:color w:val="222222"/>
          <w:lang w:val="en-US"/>
        </w:rPr>
      </w:pPr>
      <w:r w:rsidRPr="00A35011">
        <w:rPr>
          <w:rFonts w:asciiTheme="minorHAnsi" w:hAnsiTheme="minorHAnsi" w:cs="Arial"/>
          <w:color w:val="222222"/>
          <w:lang w:val="en-US"/>
        </w:rPr>
        <w:t>flue gas desulphurisation projects applied to large combustion plants</w:t>
      </w:r>
      <w:r w:rsidR="00D87B13" w:rsidRPr="00A35011">
        <w:rPr>
          <w:rFonts w:asciiTheme="minorHAnsi" w:hAnsiTheme="minorHAnsi" w:cs="Arial"/>
          <w:color w:val="222222"/>
          <w:lang w:val="en-US"/>
        </w:rPr>
        <w:t>;</w:t>
      </w:r>
    </w:p>
    <w:p w:rsidR="00122CF7"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4" w:tgtFrame="_blank" w:history="1">
        <w:r w:rsidR="00C32F70" w:rsidRPr="00A35011">
          <w:rPr>
            <w:rFonts w:asciiTheme="minorHAnsi" w:hAnsiTheme="minorHAnsi" w:cs="Arial"/>
            <w:color w:val="222222"/>
            <w:lang w:val="en-US"/>
          </w:rPr>
          <w:t>motorway and road construction</w:t>
        </w:r>
      </w:hyperlink>
      <w:r w:rsidR="00D87B13" w:rsidRPr="00A35011">
        <w:rPr>
          <w:rFonts w:asciiTheme="minorHAnsi" w:hAnsiTheme="minorHAnsi" w:cs="Arial"/>
          <w:color w:val="222222"/>
          <w:lang w:val="en-US"/>
        </w:rPr>
        <w:t xml:space="preserve"> projects;</w:t>
      </w:r>
    </w:p>
    <w:p w:rsidR="00C32F70" w:rsidRPr="00A35011" w:rsidRDefault="004A20D0" w:rsidP="009556B7">
      <w:pPr>
        <w:pStyle w:val="ListParagraph"/>
        <w:numPr>
          <w:ilvl w:val="0"/>
          <w:numId w:val="2"/>
        </w:numPr>
        <w:spacing w:before="120"/>
        <w:jc w:val="both"/>
        <w:outlineLvl w:val="0"/>
        <w:rPr>
          <w:rFonts w:asciiTheme="minorHAnsi" w:hAnsiTheme="minorHAnsi" w:cs="Arial"/>
          <w:color w:val="222222"/>
          <w:lang w:val="en-US"/>
        </w:rPr>
      </w:pPr>
      <w:hyperlink r:id="rId15" w:tgtFrame="_blank" w:history="1">
        <w:r w:rsidR="00C32F70" w:rsidRPr="00A35011">
          <w:rPr>
            <w:rFonts w:asciiTheme="minorHAnsi" w:hAnsiTheme="minorHAnsi" w:cs="Arial"/>
            <w:color w:val="222222"/>
            <w:lang w:val="en-US"/>
          </w:rPr>
          <w:t>railway</w:t>
        </w:r>
      </w:hyperlink>
      <w:r w:rsidR="00C32F70" w:rsidRPr="00A35011">
        <w:rPr>
          <w:rFonts w:asciiTheme="minorHAnsi" w:hAnsiTheme="minorHAnsi" w:cs="Arial"/>
          <w:color w:val="222222"/>
          <w:lang w:val="en-US"/>
        </w:rPr>
        <w:t xml:space="preserve"> construction</w:t>
      </w:r>
      <w:r w:rsidR="00D87B13" w:rsidRPr="00A35011">
        <w:rPr>
          <w:rFonts w:asciiTheme="minorHAnsi" w:hAnsiTheme="minorHAnsi" w:cs="Arial"/>
          <w:color w:val="222222"/>
          <w:lang w:val="en-US"/>
        </w:rPr>
        <w:t xml:space="preserve"> projects</w:t>
      </w:r>
      <w:r w:rsidR="00C32F70" w:rsidRPr="00A35011">
        <w:rPr>
          <w:rFonts w:asciiTheme="minorHAnsi" w:hAnsiTheme="minorHAnsi" w:cs="Arial"/>
          <w:color w:val="222222"/>
          <w:lang w:val="en-US"/>
        </w:rPr>
        <w:t>.</w:t>
      </w:r>
    </w:p>
    <w:p w:rsidR="00843AEB" w:rsidRPr="00A35011" w:rsidRDefault="00843AEB" w:rsidP="0009678F">
      <w:pPr>
        <w:spacing w:before="120"/>
        <w:jc w:val="both"/>
        <w:rPr>
          <w:rFonts w:asciiTheme="minorHAnsi" w:hAnsiTheme="minorHAnsi"/>
          <w:lang w:val="en-US"/>
        </w:rPr>
      </w:pPr>
      <w:r w:rsidRPr="00A35011">
        <w:rPr>
          <w:rFonts w:asciiTheme="minorHAnsi" w:hAnsiTheme="minorHAnsi"/>
          <w:lang w:val="en-US"/>
        </w:rPr>
        <w:t>At the same time, for the implementation of the provisions of the SEA Directive, with PHARE astistance, were developed guidelines for energy, industry, spatial planning and transport plans.</w:t>
      </w:r>
    </w:p>
    <w:p w:rsidR="003D5FE6" w:rsidRPr="00A35011" w:rsidRDefault="003D5FE6" w:rsidP="003D5FE6">
      <w:pPr>
        <w:spacing w:before="120"/>
        <w:jc w:val="both"/>
        <w:rPr>
          <w:rFonts w:asciiTheme="minorHAnsi" w:hAnsiTheme="minorHAnsi"/>
          <w:lang w:val="en-US"/>
        </w:rPr>
      </w:pPr>
      <w:r w:rsidRPr="00A35011">
        <w:rPr>
          <w:rFonts w:asciiTheme="minorHAnsi" w:hAnsiTheme="minorHAnsi"/>
          <w:lang w:val="en-US"/>
        </w:rPr>
        <w:t>In 2007, environmental authorities were trained both for the application of the EIA/SEA Directives, at the time of their transposition into national law, and for the subsequent legislation enforcement.</w:t>
      </w:r>
    </w:p>
    <w:p w:rsidR="003D5FE6" w:rsidRPr="00A35011" w:rsidRDefault="003D5FE6" w:rsidP="003D5FE6">
      <w:pPr>
        <w:spacing w:before="120"/>
        <w:jc w:val="both"/>
        <w:rPr>
          <w:rFonts w:asciiTheme="minorHAnsi" w:hAnsiTheme="minorHAnsi"/>
          <w:lang w:val="en-US"/>
        </w:rPr>
      </w:pPr>
      <w:r w:rsidRPr="00A35011">
        <w:rPr>
          <w:rFonts w:asciiTheme="minorHAnsi" w:hAnsiTheme="minorHAnsi"/>
          <w:lang w:val="en-US"/>
        </w:rPr>
        <w:t>Regarding the 7 guidelines developed with the support of Jaspers, they address environmental experts from the authorities in Romania involved in completing procedures for environmental impact assessment</w:t>
      </w:r>
    </w:p>
    <w:p w:rsidR="00C125F1" w:rsidRPr="00A35011" w:rsidRDefault="00C125F1" w:rsidP="00C125F1">
      <w:pPr>
        <w:spacing w:before="120"/>
        <w:jc w:val="both"/>
        <w:rPr>
          <w:rFonts w:asciiTheme="minorHAnsi" w:hAnsiTheme="minorHAnsi"/>
          <w:lang w:val="en-US"/>
        </w:rPr>
      </w:pPr>
      <w:r w:rsidRPr="00A35011">
        <w:rPr>
          <w:rFonts w:asciiTheme="minorHAnsi" w:hAnsiTheme="minorHAnsi"/>
          <w:lang w:val="en-US"/>
        </w:rPr>
        <w:t xml:space="preserve">The Ministry of Environment, Waters and Forests made a screening and asked all environmental authorities in the country to provide the information necessary to determine the use of EIA guidelines developed with the Jaspers support. </w:t>
      </w:r>
    </w:p>
    <w:p w:rsidR="002D1538" w:rsidRPr="000431E2" w:rsidRDefault="0072363C" w:rsidP="003D5FE6">
      <w:pPr>
        <w:spacing w:before="120"/>
        <w:jc w:val="both"/>
        <w:rPr>
          <w:rFonts w:asciiTheme="minorHAnsi" w:hAnsiTheme="minorHAnsi"/>
          <w:lang w:val="en-US"/>
        </w:rPr>
      </w:pPr>
      <w:r w:rsidRPr="00A35011">
        <w:rPr>
          <w:rFonts w:asciiTheme="minorHAnsi" w:hAnsiTheme="minorHAnsi"/>
          <w:lang w:val="en-US"/>
        </w:rPr>
        <w:t>Thus,</w:t>
      </w:r>
      <w:r w:rsidR="00C125F1" w:rsidRPr="00A35011">
        <w:rPr>
          <w:rFonts w:asciiTheme="minorHAnsi" w:hAnsiTheme="minorHAnsi"/>
          <w:lang w:val="en-US"/>
        </w:rPr>
        <w:t xml:space="preserve"> resulted that</w:t>
      </w:r>
      <w:r w:rsidRPr="00A35011">
        <w:rPr>
          <w:rFonts w:asciiTheme="minorHAnsi" w:hAnsiTheme="minorHAnsi"/>
          <w:lang w:val="en-US"/>
        </w:rPr>
        <w:t xml:space="preserve"> in defining the scope of the EIA (scoping stage), in addition to the Order no. 863/2002 </w:t>
      </w:r>
      <w:r w:rsidRPr="00A35011">
        <w:rPr>
          <w:rFonts w:asciiTheme="minorHAnsi" w:hAnsiTheme="minorHAnsi" w:cs="Arial"/>
          <w:color w:val="222222"/>
          <w:lang w:val="en-US"/>
        </w:rPr>
        <w:t>on the approval of methodological guidelines applicable to the stages of environmental impact assessment framework procedure</w:t>
      </w:r>
      <w:r w:rsidRPr="00A35011">
        <w:rPr>
          <w:rFonts w:asciiTheme="minorHAnsi" w:hAnsiTheme="minorHAnsi"/>
          <w:lang w:val="en-US"/>
        </w:rPr>
        <w:t xml:space="preserve">, environmental authorities are using </w:t>
      </w:r>
      <w:r w:rsidRPr="000431E2">
        <w:rPr>
          <w:rFonts w:asciiTheme="minorHAnsi" w:hAnsiTheme="minorHAnsi"/>
          <w:lang w:val="en-US"/>
        </w:rPr>
        <w:t>Jaspers specific guidelines in the preparation of guidance on information to be included in the EIA report</w:t>
      </w:r>
      <w:r w:rsidR="00C125F1" w:rsidRPr="000431E2">
        <w:rPr>
          <w:rStyle w:val="FootnoteReference"/>
          <w:rFonts w:asciiTheme="minorHAnsi" w:hAnsiTheme="minorHAnsi"/>
          <w:lang w:val="en-US"/>
        </w:rPr>
        <w:footnoteReference w:id="1"/>
      </w:r>
      <w:r w:rsidRPr="000431E2">
        <w:rPr>
          <w:rFonts w:asciiTheme="minorHAnsi" w:hAnsiTheme="minorHAnsi"/>
          <w:lang w:val="en-US"/>
        </w:rPr>
        <w:t xml:space="preserve">. Also, these guidelines aim to support the beneficiaries/project owners and consultants in order to carry out the EIA and to elaborate IM Report ("environmental assessors"). </w:t>
      </w:r>
      <w:r w:rsidR="008666E6" w:rsidRPr="000431E2">
        <w:rPr>
          <w:rFonts w:asciiTheme="minorHAnsi" w:hAnsiTheme="minorHAnsi"/>
          <w:lang w:val="en-US"/>
        </w:rPr>
        <w:t>The Ministry of Environment, Waters and Forests will enforce the</w:t>
      </w:r>
      <w:r w:rsidR="002D1538" w:rsidRPr="000431E2">
        <w:rPr>
          <w:rFonts w:asciiTheme="minorHAnsi" w:hAnsiTheme="minorHAnsi"/>
          <w:lang w:val="en-US"/>
        </w:rPr>
        <w:t xml:space="preserve"> </w:t>
      </w:r>
      <w:r w:rsidR="008E5E55" w:rsidRPr="000431E2">
        <w:rPr>
          <w:rFonts w:asciiTheme="minorHAnsi" w:hAnsiTheme="minorHAnsi"/>
          <w:lang w:val="en-US"/>
        </w:rPr>
        <w:t>Jaspers gudelines and the</w:t>
      </w:r>
      <w:r w:rsidR="008666E6" w:rsidRPr="000431E2">
        <w:rPr>
          <w:rFonts w:asciiTheme="minorHAnsi" w:hAnsiTheme="minorHAnsi"/>
          <w:lang w:val="en-US"/>
        </w:rPr>
        <w:t>se will be sistematically applicated through the procedures by the environmet</w:t>
      </w:r>
      <w:r w:rsidR="008E5E55" w:rsidRPr="000431E2">
        <w:rPr>
          <w:rFonts w:asciiTheme="minorHAnsi" w:hAnsiTheme="minorHAnsi"/>
          <w:lang w:val="en-US"/>
        </w:rPr>
        <w:t>al authorities (NEPA and LEPAs),</w:t>
      </w:r>
      <w:r w:rsidR="008666E6" w:rsidRPr="000431E2">
        <w:rPr>
          <w:rFonts w:asciiTheme="minorHAnsi" w:hAnsiTheme="minorHAnsi"/>
          <w:lang w:val="en-US"/>
        </w:rPr>
        <w:t xml:space="preserve"> </w:t>
      </w:r>
      <w:r w:rsidR="008E5E55" w:rsidRPr="000431E2">
        <w:rPr>
          <w:rFonts w:asciiTheme="minorHAnsi" w:hAnsiTheme="minorHAnsi"/>
          <w:lang w:val="en-US"/>
        </w:rPr>
        <w:t xml:space="preserve">for ensuring consistent and quality assessment and any relevant  environmental authorities. </w:t>
      </w:r>
    </w:p>
    <w:p w:rsidR="003918A0" w:rsidRPr="000431E2" w:rsidRDefault="003918A0" w:rsidP="003D5FE6">
      <w:pPr>
        <w:spacing w:before="120"/>
        <w:jc w:val="both"/>
        <w:rPr>
          <w:rFonts w:asciiTheme="minorHAnsi" w:hAnsiTheme="minorHAnsi"/>
          <w:lang w:val="en-US"/>
        </w:rPr>
      </w:pPr>
      <w:r w:rsidRPr="000431E2">
        <w:rPr>
          <w:rFonts w:asciiTheme="minorHAnsi" w:hAnsiTheme="minorHAnsi"/>
          <w:lang w:val="en-US"/>
        </w:rPr>
        <w:t xml:space="preserve">Currently, the environmental authorities of municipalities/regions where </w:t>
      </w:r>
      <w:r w:rsidR="00A83D54" w:rsidRPr="000431E2">
        <w:rPr>
          <w:rFonts w:asciiTheme="minorHAnsi" w:hAnsiTheme="minorHAnsi"/>
          <w:lang w:val="en-US"/>
        </w:rPr>
        <w:t xml:space="preserve">are </w:t>
      </w:r>
      <w:r w:rsidRPr="000431E2">
        <w:rPr>
          <w:rFonts w:asciiTheme="minorHAnsi" w:hAnsiTheme="minorHAnsi"/>
          <w:lang w:val="en-US"/>
        </w:rPr>
        <w:t xml:space="preserve">requests for projects in areas that have been </w:t>
      </w:r>
      <w:r w:rsidR="00A83D54" w:rsidRPr="000431E2">
        <w:rPr>
          <w:rFonts w:asciiTheme="minorHAnsi" w:hAnsiTheme="minorHAnsi"/>
          <w:lang w:val="en-US"/>
        </w:rPr>
        <w:t>covered by</w:t>
      </w:r>
      <w:r w:rsidRPr="000431E2">
        <w:rPr>
          <w:rFonts w:asciiTheme="minorHAnsi" w:hAnsiTheme="minorHAnsi"/>
          <w:lang w:val="en-US"/>
        </w:rPr>
        <w:t xml:space="preserve"> the 7 </w:t>
      </w:r>
      <w:r w:rsidR="00A83D54" w:rsidRPr="000431E2">
        <w:rPr>
          <w:rFonts w:asciiTheme="minorHAnsi" w:hAnsiTheme="minorHAnsi"/>
          <w:lang w:val="en-US"/>
        </w:rPr>
        <w:t>guidelines elaborated</w:t>
      </w:r>
      <w:r w:rsidRPr="000431E2">
        <w:rPr>
          <w:rFonts w:asciiTheme="minorHAnsi" w:hAnsiTheme="minorHAnsi"/>
          <w:lang w:val="en-US"/>
        </w:rPr>
        <w:t xml:space="preserve"> by Jaspers, </w:t>
      </w:r>
      <w:r w:rsidR="00A83D54" w:rsidRPr="000431E2">
        <w:rPr>
          <w:rFonts w:asciiTheme="minorHAnsi" w:hAnsiTheme="minorHAnsi"/>
          <w:lang w:val="en-US"/>
        </w:rPr>
        <w:t>are using</w:t>
      </w:r>
      <w:r w:rsidRPr="000431E2">
        <w:rPr>
          <w:rFonts w:asciiTheme="minorHAnsi" w:hAnsiTheme="minorHAnsi"/>
          <w:lang w:val="en-US"/>
        </w:rPr>
        <w:t xml:space="preserve"> </w:t>
      </w:r>
      <w:r w:rsidR="00A83D54" w:rsidRPr="000431E2">
        <w:rPr>
          <w:rFonts w:asciiTheme="minorHAnsi" w:hAnsiTheme="minorHAnsi"/>
          <w:lang w:val="en-US"/>
        </w:rPr>
        <w:t>these guidelines during the</w:t>
      </w:r>
      <w:r w:rsidRPr="000431E2">
        <w:rPr>
          <w:rFonts w:asciiTheme="minorHAnsi" w:hAnsiTheme="minorHAnsi"/>
          <w:lang w:val="en-US"/>
        </w:rPr>
        <w:t xml:space="preserve"> completion of the assessment of environmental impact</w:t>
      </w:r>
      <w:r w:rsidR="00A83D54" w:rsidRPr="000431E2">
        <w:rPr>
          <w:rFonts w:asciiTheme="minorHAnsi" w:hAnsiTheme="minorHAnsi"/>
          <w:lang w:val="en-US"/>
        </w:rPr>
        <w:t>. I</w:t>
      </w:r>
      <w:r w:rsidRPr="000431E2">
        <w:rPr>
          <w:rFonts w:asciiTheme="minorHAnsi" w:hAnsiTheme="minorHAnsi"/>
          <w:lang w:val="en-US"/>
        </w:rPr>
        <w:t xml:space="preserve">t was found that </w:t>
      </w:r>
      <w:r w:rsidR="00A83D54" w:rsidRPr="000431E2">
        <w:rPr>
          <w:rFonts w:asciiTheme="minorHAnsi" w:hAnsiTheme="minorHAnsi"/>
          <w:lang w:val="en-US"/>
        </w:rPr>
        <w:t xml:space="preserve">such kind of </w:t>
      </w:r>
      <w:r w:rsidRPr="000431E2">
        <w:rPr>
          <w:rFonts w:asciiTheme="minorHAnsi" w:hAnsiTheme="minorHAnsi"/>
          <w:lang w:val="en-US"/>
        </w:rPr>
        <w:t>projects</w:t>
      </w:r>
      <w:r w:rsidR="00A83D54" w:rsidRPr="000431E2">
        <w:rPr>
          <w:rFonts w:asciiTheme="minorHAnsi" w:hAnsiTheme="minorHAnsi"/>
          <w:lang w:val="en-US"/>
        </w:rPr>
        <w:t xml:space="preserve"> (</w:t>
      </w:r>
      <w:r w:rsidRPr="000431E2">
        <w:rPr>
          <w:rFonts w:asciiTheme="minorHAnsi" w:hAnsiTheme="minorHAnsi"/>
          <w:lang w:val="en-US"/>
        </w:rPr>
        <w:t xml:space="preserve">in the field </w:t>
      </w:r>
      <w:r w:rsidR="00A83D54" w:rsidRPr="000431E2">
        <w:rPr>
          <w:rFonts w:asciiTheme="minorHAnsi" w:hAnsiTheme="minorHAnsi"/>
          <w:lang w:val="en-US"/>
        </w:rPr>
        <w:t xml:space="preserve">covered by Jaspers guidelines) are </w:t>
      </w:r>
      <w:r w:rsidRPr="000431E2">
        <w:rPr>
          <w:rFonts w:asciiTheme="minorHAnsi" w:hAnsiTheme="minorHAnsi"/>
          <w:lang w:val="en-US"/>
        </w:rPr>
        <w:t>not develop</w:t>
      </w:r>
      <w:r w:rsidR="00A83D54" w:rsidRPr="000431E2">
        <w:rPr>
          <w:rFonts w:asciiTheme="minorHAnsi" w:hAnsiTheme="minorHAnsi"/>
          <w:lang w:val="en-US"/>
        </w:rPr>
        <w:t>ed</w:t>
      </w:r>
      <w:r w:rsidRPr="000431E2">
        <w:rPr>
          <w:rFonts w:asciiTheme="minorHAnsi" w:hAnsiTheme="minorHAnsi"/>
          <w:lang w:val="en-US"/>
        </w:rPr>
        <w:t xml:space="preserve"> in all areas of the country. After </w:t>
      </w:r>
      <w:r w:rsidR="00A83D54" w:rsidRPr="000431E2">
        <w:rPr>
          <w:rFonts w:asciiTheme="minorHAnsi" w:hAnsiTheme="minorHAnsi"/>
          <w:lang w:val="en-US"/>
        </w:rPr>
        <w:t xml:space="preserve">the </w:t>
      </w:r>
      <w:r w:rsidRPr="000431E2">
        <w:rPr>
          <w:rFonts w:asciiTheme="minorHAnsi" w:hAnsiTheme="minorHAnsi"/>
          <w:lang w:val="en-US"/>
        </w:rPr>
        <w:t xml:space="preserve">approval </w:t>
      </w:r>
      <w:r w:rsidR="00A83D54" w:rsidRPr="000431E2">
        <w:rPr>
          <w:rFonts w:asciiTheme="minorHAnsi" w:hAnsiTheme="minorHAnsi"/>
          <w:lang w:val="en-US"/>
        </w:rPr>
        <w:t xml:space="preserve">of the </w:t>
      </w:r>
      <w:r w:rsidRPr="000431E2">
        <w:rPr>
          <w:rFonts w:asciiTheme="minorHAnsi" w:hAnsiTheme="minorHAnsi"/>
          <w:lang w:val="en-US"/>
        </w:rPr>
        <w:t xml:space="preserve">Jaspers </w:t>
      </w:r>
      <w:r w:rsidR="00A83D54" w:rsidRPr="000431E2">
        <w:rPr>
          <w:rFonts w:asciiTheme="minorHAnsi" w:hAnsiTheme="minorHAnsi"/>
          <w:lang w:val="en-US"/>
        </w:rPr>
        <w:t>guidelines</w:t>
      </w:r>
      <w:r w:rsidRPr="000431E2">
        <w:rPr>
          <w:rFonts w:asciiTheme="minorHAnsi" w:hAnsiTheme="minorHAnsi"/>
          <w:lang w:val="en-US"/>
        </w:rPr>
        <w:t xml:space="preserve"> by</w:t>
      </w:r>
      <w:r w:rsidR="00A83D54" w:rsidRPr="000431E2">
        <w:rPr>
          <w:rFonts w:asciiTheme="minorHAnsi" w:hAnsiTheme="minorHAnsi"/>
          <w:lang w:val="en-US"/>
        </w:rPr>
        <w:t xml:space="preserve"> Ministerial</w:t>
      </w:r>
      <w:r w:rsidRPr="000431E2">
        <w:rPr>
          <w:rFonts w:asciiTheme="minorHAnsi" w:hAnsiTheme="minorHAnsi"/>
          <w:lang w:val="en-US"/>
        </w:rPr>
        <w:t xml:space="preserve"> Order, </w:t>
      </w:r>
      <w:r w:rsidR="00A83D54" w:rsidRPr="000431E2">
        <w:rPr>
          <w:rFonts w:asciiTheme="minorHAnsi" w:hAnsiTheme="minorHAnsi"/>
          <w:lang w:val="en-US"/>
        </w:rPr>
        <w:t>those</w:t>
      </w:r>
      <w:r w:rsidRPr="000431E2">
        <w:rPr>
          <w:rFonts w:asciiTheme="minorHAnsi" w:hAnsiTheme="minorHAnsi"/>
          <w:lang w:val="en-US"/>
        </w:rPr>
        <w:t xml:space="preserve"> will become effective environmental legislation to be </w:t>
      </w:r>
      <w:r w:rsidR="00A83D54" w:rsidRPr="000431E2">
        <w:rPr>
          <w:rFonts w:asciiTheme="minorHAnsi" w:hAnsiTheme="minorHAnsi"/>
          <w:lang w:val="en-US"/>
        </w:rPr>
        <w:t>respected during EIA procedure</w:t>
      </w:r>
      <w:r w:rsidRPr="000431E2">
        <w:rPr>
          <w:rFonts w:asciiTheme="minorHAnsi" w:hAnsiTheme="minorHAnsi"/>
          <w:lang w:val="en-US"/>
        </w:rPr>
        <w:t xml:space="preserve"> and, therefore, </w:t>
      </w:r>
      <w:r w:rsidR="00A83D54" w:rsidRPr="000431E2">
        <w:rPr>
          <w:rFonts w:asciiTheme="minorHAnsi" w:hAnsiTheme="minorHAnsi"/>
          <w:lang w:val="en-US"/>
        </w:rPr>
        <w:t xml:space="preserve">the application of the Jaspers guidelines by environmental authorities, consultants and project beneficiaries </w:t>
      </w:r>
      <w:r w:rsidRPr="000431E2">
        <w:rPr>
          <w:rFonts w:asciiTheme="minorHAnsi" w:hAnsiTheme="minorHAnsi"/>
          <w:lang w:val="en-US"/>
        </w:rPr>
        <w:t>will become mandatory.</w:t>
      </w:r>
    </w:p>
    <w:p w:rsidR="00D46693" w:rsidRPr="000431E2" w:rsidRDefault="00D46693" w:rsidP="003D5FE6">
      <w:pPr>
        <w:spacing w:before="120"/>
        <w:jc w:val="both"/>
        <w:rPr>
          <w:rFonts w:asciiTheme="minorHAnsi" w:hAnsiTheme="minorHAnsi"/>
          <w:lang w:val="en-US"/>
        </w:rPr>
      </w:pPr>
      <w:r w:rsidRPr="000431E2">
        <w:rPr>
          <w:rFonts w:asciiTheme="minorHAnsi" w:hAnsiTheme="minorHAnsi"/>
          <w:lang w:val="en-US"/>
        </w:rPr>
        <w:t>Taking into account that the training on the Jaspers and Phare guidelines was held in 2010, respectively 2008 and and having in mind the personnel fluctuation, those guidelines will be part of the training activity which will be organised based on Jaspers Strategy and Plan for training for the environmental competent authorities.</w:t>
      </w:r>
    </w:p>
    <w:p w:rsidR="00003A68" w:rsidRPr="00A35011" w:rsidRDefault="00667BAF" w:rsidP="00E275DB">
      <w:pPr>
        <w:spacing w:before="120"/>
        <w:jc w:val="both"/>
        <w:rPr>
          <w:rFonts w:asciiTheme="minorHAnsi" w:hAnsiTheme="minorHAnsi"/>
          <w:lang w:val="en-US"/>
        </w:rPr>
      </w:pPr>
      <w:r w:rsidRPr="000431E2">
        <w:rPr>
          <w:rFonts w:asciiTheme="minorHAnsi" w:hAnsiTheme="minorHAnsi"/>
          <w:lang w:val="en-US"/>
        </w:rPr>
        <w:t>The legislation, procedures, gu</w:t>
      </w:r>
      <w:r w:rsidR="008E5E55" w:rsidRPr="000431E2">
        <w:rPr>
          <w:rFonts w:asciiTheme="minorHAnsi" w:hAnsiTheme="minorHAnsi"/>
          <w:lang w:val="en-US"/>
        </w:rPr>
        <w:t>i</w:t>
      </w:r>
      <w:r w:rsidRPr="000431E2">
        <w:rPr>
          <w:rFonts w:asciiTheme="minorHAnsi" w:hAnsiTheme="minorHAnsi"/>
          <w:lang w:val="en-US"/>
        </w:rPr>
        <w:t>delines mentioned above and d</w:t>
      </w:r>
      <w:r w:rsidR="00E977B4" w:rsidRPr="000431E2">
        <w:rPr>
          <w:rFonts w:asciiTheme="minorHAnsi" w:hAnsiTheme="minorHAnsi"/>
          <w:lang w:val="en-US"/>
        </w:rPr>
        <w:t xml:space="preserve">etailed information are available on the National Enviromnental Protection Agency: </w:t>
      </w:r>
      <w:hyperlink r:id="rId16" w:history="1">
        <w:r w:rsidR="00E977B4" w:rsidRPr="000431E2">
          <w:rPr>
            <w:rStyle w:val="Hyperlink"/>
            <w:rFonts w:asciiTheme="minorHAnsi" w:hAnsiTheme="minorHAnsi"/>
            <w:lang w:val="en-US"/>
          </w:rPr>
          <w:t>http://www.anpm.ro/acordul-de-mediu</w:t>
        </w:r>
      </w:hyperlink>
      <w:r w:rsidR="008E5E55" w:rsidRPr="000431E2">
        <w:rPr>
          <w:rFonts w:asciiTheme="minorHAnsi" w:hAnsiTheme="minorHAnsi"/>
          <w:lang w:val="en-US"/>
        </w:rPr>
        <w:t>.</w:t>
      </w:r>
    </w:p>
    <w:p w:rsidR="00E977B4" w:rsidRPr="00A35011" w:rsidRDefault="00E977B4" w:rsidP="00E275DB">
      <w:pPr>
        <w:spacing w:before="120"/>
        <w:jc w:val="both"/>
        <w:rPr>
          <w:rFonts w:asciiTheme="minorHAnsi" w:hAnsiTheme="minorHAnsi"/>
          <w:lang w:val="en-US"/>
        </w:rPr>
      </w:pPr>
      <w:r w:rsidRPr="00A35011">
        <w:rPr>
          <w:rFonts w:asciiTheme="minorHAnsi" w:hAnsiTheme="minorHAnsi"/>
          <w:lang w:val="en-US"/>
        </w:rPr>
        <w:t xml:space="preserve"> </w:t>
      </w:r>
      <w:r w:rsidR="005971CB" w:rsidRPr="00A35011">
        <w:rPr>
          <w:rFonts w:asciiTheme="minorHAnsi" w:hAnsiTheme="minorHAnsi"/>
          <w:lang w:val="en-US"/>
        </w:rPr>
        <w:t xml:space="preserve">  </w:t>
      </w:r>
    </w:p>
    <w:p w:rsidR="00E679FF" w:rsidRPr="00A35011" w:rsidRDefault="00E679FF" w:rsidP="00003A68">
      <w:pPr>
        <w:pStyle w:val="ListParagraph"/>
        <w:numPr>
          <w:ilvl w:val="0"/>
          <w:numId w:val="15"/>
        </w:numPr>
        <w:spacing w:before="120"/>
        <w:jc w:val="both"/>
        <w:rPr>
          <w:rFonts w:asciiTheme="minorHAnsi" w:hAnsiTheme="minorHAnsi"/>
          <w:b/>
          <w:color w:val="17365D" w:themeColor="text2" w:themeShade="BF"/>
          <w:lang w:val="en-US"/>
        </w:rPr>
      </w:pPr>
      <w:r w:rsidRPr="00A35011">
        <w:rPr>
          <w:rFonts w:asciiTheme="minorHAnsi" w:hAnsiTheme="minorHAnsi"/>
          <w:b/>
          <w:color w:val="17365D" w:themeColor="text2" w:themeShade="BF"/>
          <w:lang w:val="en-US"/>
        </w:rPr>
        <w:lastRenderedPageBreak/>
        <w:t>Mapping of the practices in Romania regarding projects concerned by full EIA / screening procedures and identification of the corresponding gaps for issuing further guidelines for projects not cov</w:t>
      </w:r>
      <w:r w:rsidR="00DF43D0" w:rsidRPr="00A35011">
        <w:rPr>
          <w:rFonts w:asciiTheme="minorHAnsi" w:hAnsiTheme="minorHAnsi"/>
          <w:b/>
          <w:color w:val="17365D" w:themeColor="text2" w:themeShade="BF"/>
          <w:lang w:val="en-US"/>
        </w:rPr>
        <w:t>ered but statistically relevant</w:t>
      </w:r>
    </w:p>
    <w:p w:rsidR="008E35B6" w:rsidRPr="00597974" w:rsidRDefault="008E35B6" w:rsidP="00003A68">
      <w:pPr>
        <w:spacing w:before="120" w:after="120"/>
        <w:jc w:val="both"/>
        <w:rPr>
          <w:rFonts w:asciiTheme="minorHAnsi" w:eastAsia="MS Mincho" w:hAnsiTheme="minorHAnsi"/>
          <w:iCs/>
          <w:noProof w:val="0"/>
          <w:lang w:val="en-US"/>
        </w:rPr>
      </w:pPr>
      <w:r w:rsidRPr="00597974">
        <w:rPr>
          <w:rFonts w:asciiTheme="minorHAnsi" w:eastAsia="MS Mincho" w:hAnsiTheme="minorHAnsi"/>
          <w:iCs/>
          <w:noProof w:val="0"/>
          <w:lang w:val="en-US"/>
        </w:rPr>
        <w:t>The Ministry of Environment, Waters and Forests, together with local environmental authorities, made a screening and identified the need for new guidelines and similar methodological tools for other types of projects not covered by Jaspers guidelines.</w:t>
      </w:r>
    </w:p>
    <w:p w:rsidR="008E35B6" w:rsidRPr="00597974" w:rsidRDefault="008E35B6" w:rsidP="008E35B6">
      <w:pPr>
        <w:pStyle w:val="ListParagraph"/>
        <w:spacing w:before="120"/>
        <w:ind w:left="0"/>
        <w:jc w:val="both"/>
        <w:rPr>
          <w:rFonts w:asciiTheme="minorHAnsi" w:hAnsiTheme="minorHAnsi"/>
          <w:color w:val="000000" w:themeColor="text1"/>
          <w:lang w:val="en-US"/>
        </w:rPr>
      </w:pPr>
      <w:r w:rsidRPr="00597974">
        <w:rPr>
          <w:rFonts w:asciiTheme="minorHAnsi" w:hAnsiTheme="minorHAnsi"/>
          <w:color w:val="000000" w:themeColor="text1"/>
          <w:lang w:val="en-US"/>
        </w:rPr>
        <w:t>Based on the analysis carried out abover, the following fields have been identified as requiring tailored guidance for carrying out EIA procedure:</w:t>
      </w:r>
    </w:p>
    <w:p w:rsidR="008E35B6" w:rsidRPr="00597974" w:rsidRDefault="00597974" w:rsidP="008E35B6">
      <w:pPr>
        <w:pStyle w:val="ListParagraph"/>
        <w:numPr>
          <w:ilvl w:val="0"/>
          <w:numId w:val="17"/>
        </w:numPr>
        <w:spacing w:before="120"/>
        <w:jc w:val="both"/>
        <w:rPr>
          <w:rFonts w:asciiTheme="minorHAnsi" w:hAnsiTheme="minorHAnsi"/>
          <w:color w:val="000000" w:themeColor="text1"/>
          <w:lang w:val="en-US"/>
        </w:rPr>
      </w:pPr>
      <w:r w:rsidRPr="00597974">
        <w:rPr>
          <w:rFonts w:ascii="Calibri" w:eastAsiaTheme="minorHAnsi" w:hAnsi="Calibri" w:cs="Calibri"/>
          <w:noProof w:val="0"/>
          <w:lang w:val="ro-RO"/>
        </w:rPr>
        <w:t>Quarries and open-cast mining (</w:t>
      </w:r>
      <w:r w:rsidR="008E35B6" w:rsidRPr="00597974">
        <w:rPr>
          <w:rFonts w:asciiTheme="minorHAnsi" w:hAnsiTheme="minorHAnsi"/>
          <w:color w:val="000000" w:themeColor="text1"/>
          <w:lang w:val="en-US"/>
        </w:rPr>
        <w:t>including industrial equipment for surface mining</w:t>
      </w:r>
      <w:r w:rsidRPr="00597974">
        <w:rPr>
          <w:rFonts w:asciiTheme="minorHAnsi" w:hAnsiTheme="minorHAnsi"/>
          <w:color w:val="000000" w:themeColor="text1"/>
          <w:lang w:val="en-US"/>
        </w:rPr>
        <w:t>)</w:t>
      </w:r>
      <w:r w:rsidR="00977580" w:rsidRPr="00597974">
        <w:rPr>
          <w:rFonts w:asciiTheme="minorHAnsi" w:hAnsiTheme="minorHAnsi"/>
          <w:color w:val="000000" w:themeColor="text1"/>
          <w:lang w:val="en-US"/>
        </w:rPr>
        <w:t>;</w:t>
      </w:r>
    </w:p>
    <w:p w:rsidR="008E35B6" w:rsidRPr="00597974" w:rsidRDefault="00597974" w:rsidP="008E35B6">
      <w:pPr>
        <w:pStyle w:val="ListParagraph"/>
        <w:numPr>
          <w:ilvl w:val="0"/>
          <w:numId w:val="17"/>
        </w:numPr>
        <w:spacing w:before="120"/>
        <w:jc w:val="both"/>
        <w:rPr>
          <w:rFonts w:asciiTheme="minorHAnsi" w:hAnsiTheme="minorHAnsi"/>
          <w:color w:val="000000" w:themeColor="text1"/>
          <w:lang w:val="en-US"/>
        </w:rPr>
      </w:pPr>
      <w:r w:rsidRPr="00597974">
        <w:rPr>
          <w:rFonts w:ascii="Calibri" w:eastAsiaTheme="minorHAnsi" w:hAnsi="Calibri" w:cs="Calibri"/>
          <w:noProof w:val="0"/>
          <w:lang w:val="ro-RO"/>
        </w:rPr>
        <w:t>Installations for the intensive rearing of poultry or pigs</w:t>
      </w:r>
      <w:r w:rsidR="00977580" w:rsidRPr="00597974">
        <w:rPr>
          <w:rFonts w:asciiTheme="minorHAnsi" w:hAnsiTheme="minorHAnsi"/>
          <w:color w:val="000000" w:themeColor="text1"/>
          <w:lang w:val="en-US"/>
        </w:rPr>
        <w:t>;</w:t>
      </w:r>
    </w:p>
    <w:p w:rsidR="008E35B6" w:rsidRPr="00597974" w:rsidRDefault="00264201" w:rsidP="008E35B6">
      <w:pPr>
        <w:pStyle w:val="ListParagraph"/>
        <w:numPr>
          <w:ilvl w:val="0"/>
          <w:numId w:val="17"/>
        </w:numPr>
        <w:spacing w:before="120"/>
        <w:jc w:val="both"/>
        <w:rPr>
          <w:rFonts w:asciiTheme="minorHAnsi" w:hAnsiTheme="minorHAnsi"/>
          <w:color w:val="000000" w:themeColor="text1"/>
          <w:lang w:val="en-US"/>
        </w:rPr>
      </w:pPr>
      <w:r w:rsidRPr="00597974">
        <w:rPr>
          <w:rFonts w:asciiTheme="minorHAnsi" w:hAnsiTheme="minorHAnsi"/>
          <w:color w:val="000000" w:themeColor="text1"/>
          <w:lang w:val="en-US"/>
        </w:rPr>
        <w:t>Installations for hydroelectric energy production</w:t>
      </w:r>
    </w:p>
    <w:p w:rsidR="008E35B6" w:rsidRPr="00597974" w:rsidRDefault="00597974" w:rsidP="00597974">
      <w:pPr>
        <w:pStyle w:val="ListParagraph"/>
        <w:numPr>
          <w:ilvl w:val="0"/>
          <w:numId w:val="17"/>
        </w:numPr>
        <w:spacing w:before="120"/>
        <w:jc w:val="both"/>
        <w:rPr>
          <w:rFonts w:asciiTheme="minorHAnsi" w:hAnsiTheme="minorHAnsi"/>
          <w:color w:val="000000" w:themeColor="text1"/>
          <w:lang w:val="en-US"/>
        </w:rPr>
      </w:pPr>
      <w:r w:rsidRPr="00597974">
        <w:rPr>
          <w:rFonts w:asciiTheme="minorHAnsi" w:hAnsiTheme="minorHAnsi"/>
          <w:color w:val="000000" w:themeColor="text1"/>
          <w:lang w:val="en-US"/>
        </w:rPr>
        <w:t>Initial afforestation and deforestation for the purposes of conversion to another type of land use</w:t>
      </w:r>
      <w:r w:rsidR="00977580" w:rsidRPr="00597974">
        <w:rPr>
          <w:rFonts w:asciiTheme="minorHAnsi" w:hAnsiTheme="minorHAnsi"/>
          <w:color w:val="000000" w:themeColor="text1"/>
          <w:lang w:val="en-US"/>
        </w:rPr>
        <w:t xml:space="preserve">. </w:t>
      </w:r>
    </w:p>
    <w:p w:rsidR="00977580" w:rsidRPr="00597974" w:rsidRDefault="00977580" w:rsidP="00B463F3">
      <w:pPr>
        <w:spacing w:before="120"/>
        <w:jc w:val="both"/>
        <w:rPr>
          <w:rFonts w:asciiTheme="minorHAnsi" w:eastAsia="MS Mincho" w:hAnsiTheme="minorHAnsi"/>
          <w:iCs/>
          <w:noProof w:val="0"/>
          <w:lang w:val="en-US"/>
        </w:rPr>
      </w:pPr>
      <w:r w:rsidRPr="00597974">
        <w:rPr>
          <w:rFonts w:asciiTheme="minorHAnsi" w:eastAsia="MS Mincho" w:hAnsiTheme="minorHAnsi"/>
          <w:iCs/>
          <w:noProof w:val="0"/>
          <w:lang w:val="en-US"/>
        </w:rPr>
        <w:t>These guidelines were chosen because of the large number of requests for projects in those areas at the country level analysis is made for projects covered the period 2009 - 2014, therefore:</w:t>
      </w:r>
    </w:p>
    <w:p w:rsidR="00DF79DA" w:rsidRPr="00597974" w:rsidRDefault="00597974" w:rsidP="00A40F26">
      <w:pPr>
        <w:numPr>
          <w:ilvl w:val="0"/>
          <w:numId w:val="14"/>
        </w:numPr>
        <w:ind w:left="1066" w:hanging="357"/>
        <w:jc w:val="both"/>
        <w:rPr>
          <w:rFonts w:asciiTheme="minorHAnsi" w:eastAsia="MS Mincho" w:hAnsiTheme="minorHAnsi"/>
          <w:bCs/>
          <w:iCs/>
          <w:noProof w:val="0"/>
          <w:lang w:val="en-US"/>
        </w:rPr>
      </w:pPr>
      <w:r w:rsidRPr="00597974">
        <w:rPr>
          <w:rFonts w:ascii="Calibri" w:eastAsiaTheme="minorHAnsi" w:hAnsi="Calibri" w:cs="Calibri"/>
          <w:noProof w:val="0"/>
          <w:lang w:val="ro-RO"/>
        </w:rPr>
        <w:t>Quarries and open-cast mining (</w:t>
      </w:r>
      <w:r w:rsidRPr="00597974">
        <w:rPr>
          <w:rFonts w:asciiTheme="minorHAnsi" w:hAnsiTheme="minorHAnsi"/>
          <w:color w:val="000000" w:themeColor="text1"/>
          <w:lang w:val="en-US"/>
        </w:rPr>
        <w:t>including industrial equipment for surface mining)</w:t>
      </w:r>
      <w:r w:rsidR="00DF79DA" w:rsidRPr="00597974">
        <w:rPr>
          <w:rFonts w:asciiTheme="minorHAnsi" w:eastAsia="MS Mincho" w:hAnsiTheme="minorHAnsi"/>
          <w:bCs/>
          <w:iCs/>
          <w:noProof w:val="0"/>
          <w:lang w:val="en-US"/>
        </w:rPr>
        <w:t xml:space="preserve"> – Annex I and Annex II of the EIA Directive – 705 projects;</w:t>
      </w:r>
    </w:p>
    <w:p w:rsidR="00DF79DA" w:rsidRPr="00597974" w:rsidRDefault="00597974" w:rsidP="00A40F26">
      <w:pPr>
        <w:numPr>
          <w:ilvl w:val="0"/>
          <w:numId w:val="14"/>
        </w:numPr>
        <w:ind w:left="1066" w:hanging="357"/>
        <w:jc w:val="both"/>
        <w:rPr>
          <w:rFonts w:asciiTheme="minorHAnsi" w:eastAsia="MS Mincho" w:hAnsiTheme="minorHAnsi"/>
          <w:bCs/>
          <w:iCs/>
          <w:noProof w:val="0"/>
          <w:lang w:val="en-US"/>
        </w:rPr>
      </w:pPr>
      <w:r w:rsidRPr="00597974">
        <w:rPr>
          <w:rFonts w:ascii="Calibri" w:eastAsiaTheme="minorHAnsi" w:hAnsi="Calibri" w:cs="Calibri"/>
          <w:noProof w:val="0"/>
          <w:lang w:val="ro-RO"/>
        </w:rPr>
        <w:t>Installations for the intensive rearing of poultry or pigs</w:t>
      </w:r>
      <w:r w:rsidR="00DF79DA" w:rsidRPr="00597974">
        <w:rPr>
          <w:rFonts w:asciiTheme="minorHAnsi" w:eastAsia="MS Mincho" w:hAnsiTheme="minorHAnsi"/>
          <w:bCs/>
          <w:iCs/>
          <w:noProof w:val="0"/>
          <w:lang w:val="en-US"/>
        </w:rPr>
        <w:t xml:space="preserve"> - Annex I and Annex II of the EIA Directive – 213 projects;</w:t>
      </w:r>
    </w:p>
    <w:p w:rsidR="00DF79DA" w:rsidRPr="00597974" w:rsidRDefault="00264201" w:rsidP="00A40F26">
      <w:pPr>
        <w:pStyle w:val="ListParagraph"/>
        <w:numPr>
          <w:ilvl w:val="0"/>
          <w:numId w:val="14"/>
        </w:numPr>
        <w:spacing w:before="120"/>
        <w:ind w:left="1066" w:hanging="357"/>
        <w:jc w:val="both"/>
        <w:rPr>
          <w:rFonts w:asciiTheme="minorHAnsi" w:eastAsia="MS Mincho" w:hAnsiTheme="minorHAnsi"/>
          <w:bCs/>
          <w:iCs/>
          <w:noProof w:val="0"/>
          <w:lang w:val="en-US"/>
        </w:rPr>
      </w:pPr>
      <w:r w:rsidRPr="00597974">
        <w:rPr>
          <w:rFonts w:asciiTheme="minorHAnsi" w:hAnsiTheme="minorHAnsi"/>
          <w:color w:val="000000" w:themeColor="text1"/>
          <w:lang w:val="en-US"/>
        </w:rPr>
        <w:t>Installations for hydroelectric energy production</w:t>
      </w:r>
      <w:r w:rsidR="00DF79DA" w:rsidRPr="00597974">
        <w:rPr>
          <w:rFonts w:asciiTheme="minorHAnsi" w:eastAsia="MS Mincho" w:hAnsiTheme="minorHAnsi"/>
          <w:bCs/>
          <w:iCs/>
          <w:noProof w:val="0"/>
          <w:lang w:val="en-US"/>
        </w:rPr>
        <w:t xml:space="preserve"> - Annex II of the EIA Directive – 112 projects;</w:t>
      </w:r>
    </w:p>
    <w:p w:rsidR="00DF79DA" w:rsidRPr="00597974" w:rsidRDefault="00597974" w:rsidP="00A40F26">
      <w:pPr>
        <w:numPr>
          <w:ilvl w:val="0"/>
          <w:numId w:val="14"/>
        </w:numPr>
        <w:ind w:left="1066" w:hanging="357"/>
        <w:jc w:val="both"/>
        <w:rPr>
          <w:rFonts w:asciiTheme="minorHAnsi" w:eastAsia="MS Mincho" w:hAnsiTheme="minorHAnsi"/>
          <w:bCs/>
          <w:iCs/>
          <w:noProof w:val="0"/>
          <w:lang w:val="en-US"/>
        </w:rPr>
      </w:pPr>
      <w:r w:rsidRPr="00597974">
        <w:rPr>
          <w:rFonts w:asciiTheme="minorHAnsi" w:hAnsiTheme="minorHAnsi"/>
          <w:color w:val="000000" w:themeColor="text1"/>
          <w:lang w:val="en-US"/>
        </w:rPr>
        <w:t>Initial afforestation and deforestation for the purposes of conversion to another type of land use</w:t>
      </w:r>
      <w:r w:rsidR="00DF79DA" w:rsidRPr="00597974">
        <w:rPr>
          <w:rFonts w:asciiTheme="minorHAnsi" w:eastAsia="MS Mincho" w:hAnsiTheme="minorHAnsi"/>
          <w:bCs/>
          <w:iCs/>
          <w:noProof w:val="0"/>
          <w:lang w:val="en-US"/>
        </w:rPr>
        <w:t xml:space="preserve"> - Annex II of the EIA Directive – 98 projects. </w:t>
      </w:r>
    </w:p>
    <w:p w:rsidR="00DF79DA" w:rsidRPr="00597974" w:rsidRDefault="001D4025" w:rsidP="00674534">
      <w:pPr>
        <w:spacing w:before="120" w:after="120"/>
        <w:jc w:val="both"/>
        <w:rPr>
          <w:rFonts w:asciiTheme="minorHAnsi" w:eastAsia="MS Mincho" w:hAnsiTheme="minorHAnsi"/>
          <w:iCs/>
          <w:noProof w:val="0"/>
          <w:lang w:val="en-US"/>
        </w:rPr>
      </w:pPr>
      <w:r w:rsidRPr="00597974">
        <w:rPr>
          <w:rFonts w:asciiTheme="minorHAnsi" w:eastAsia="MS Mincho" w:hAnsiTheme="minorHAnsi"/>
          <w:iCs/>
          <w:noProof w:val="0"/>
          <w:lang w:val="en-US"/>
        </w:rPr>
        <w:t>The assessments on the application of the EIA Directive at the country level revealed some situations of misapplication of the term "cumulative impact with other projects / activities", mentioned guidelines will contain specific information required including in the screening stage (e</w:t>
      </w:r>
      <w:r w:rsidR="001F52EB" w:rsidRPr="00597974">
        <w:rPr>
          <w:rFonts w:asciiTheme="minorHAnsi" w:eastAsia="MS Mincho" w:hAnsiTheme="minorHAnsi"/>
          <w:iCs/>
          <w:noProof w:val="0"/>
          <w:lang w:val="en-US"/>
        </w:rPr>
        <w:t>x.</w:t>
      </w:r>
      <w:r w:rsidRPr="00597974">
        <w:rPr>
          <w:rFonts w:asciiTheme="minorHAnsi" w:eastAsia="MS Mincho" w:hAnsiTheme="minorHAnsi"/>
          <w:iCs/>
          <w:noProof w:val="0"/>
          <w:lang w:val="en-US"/>
        </w:rPr>
        <w:t xml:space="preserve"> the statement presentation</w:t>
      </w:r>
      <w:r w:rsidR="003760B7" w:rsidRPr="00597974">
        <w:rPr>
          <w:rFonts w:asciiTheme="minorHAnsi" w:eastAsia="MS Mincho" w:hAnsiTheme="minorHAnsi"/>
          <w:iCs/>
          <w:noProof w:val="0"/>
          <w:lang w:val="en-US"/>
        </w:rPr>
        <w:t>, chapter</w:t>
      </w:r>
      <w:r w:rsidRPr="00597974">
        <w:rPr>
          <w:rFonts w:asciiTheme="minorHAnsi" w:eastAsia="MS Mincho" w:hAnsiTheme="minorHAnsi"/>
          <w:iCs/>
          <w:noProof w:val="0"/>
          <w:lang w:val="en-US"/>
        </w:rPr>
        <w:t xml:space="preserve"> III </w:t>
      </w:r>
      <w:r w:rsidR="003760B7" w:rsidRPr="00597974">
        <w:rPr>
          <w:rFonts w:asciiTheme="minorHAnsi" w:eastAsia="MS Mincho" w:hAnsiTheme="minorHAnsi"/>
          <w:iCs/>
          <w:noProof w:val="0"/>
          <w:lang w:val="en-US"/>
        </w:rPr>
        <w:t>P</w:t>
      </w:r>
      <w:r w:rsidRPr="00597974">
        <w:rPr>
          <w:rFonts w:asciiTheme="minorHAnsi" w:eastAsia="MS Mincho" w:hAnsiTheme="minorHAnsi"/>
          <w:iCs/>
          <w:noProof w:val="0"/>
          <w:lang w:val="en-US"/>
        </w:rPr>
        <w:t>roject description - the cumulative impact).</w:t>
      </w:r>
    </w:p>
    <w:p w:rsidR="003760B7" w:rsidRPr="00597974" w:rsidRDefault="003760B7" w:rsidP="00674534">
      <w:pPr>
        <w:spacing w:before="120" w:after="120"/>
        <w:jc w:val="both"/>
        <w:rPr>
          <w:rFonts w:asciiTheme="minorHAnsi" w:eastAsia="MS Mincho" w:hAnsiTheme="minorHAnsi"/>
          <w:iCs/>
          <w:noProof w:val="0"/>
          <w:lang w:val="en-US"/>
        </w:rPr>
      </w:pPr>
      <w:r w:rsidRPr="00597974">
        <w:rPr>
          <w:rFonts w:asciiTheme="minorHAnsi" w:eastAsia="MS Mincho" w:hAnsiTheme="minorHAnsi"/>
          <w:iCs/>
          <w:noProof w:val="0"/>
          <w:lang w:val="en-US"/>
        </w:rPr>
        <w:t>In addition, the Ministry of Environment, Waters and Forests decided to:</w:t>
      </w:r>
    </w:p>
    <w:p w:rsidR="009336D9" w:rsidRPr="009336D9" w:rsidRDefault="003760B7" w:rsidP="009336D9">
      <w:pPr>
        <w:pStyle w:val="ListParagraph"/>
        <w:numPr>
          <w:ilvl w:val="0"/>
          <w:numId w:val="2"/>
        </w:numPr>
        <w:spacing w:before="120"/>
        <w:jc w:val="both"/>
        <w:outlineLvl w:val="0"/>
        <w:rPr>
          <w:rFonts w:asciiTheme="minorHAnsi" w:hAnsiTheme="minorHAnsi" w:cs="Arial"/>
          <w:color w:val="222222"/>
          <w:lang w:val="en-US"/>
        </w:rPr>
      </w:pPr>
      <w:r w:rsidRPr="00597974">
        <w:rPr>
          <w:rFonts w:asciiTheme="minorHAnsi" w:hAnsiTheme="minorHAnsi"/>
          <w:color w:val="000000" w:themeColor="text1"/>
          <w:lang w:val="en-US"/>
        </w:rPr>
        <w:t>Updat</w:t>
      </w:r>
      <w:r w:rsidR="003D00BF" w:rsidRPr="00597974">
        <w:rPr>
          <w:rFonts w:asciiTheme="minorHAnsi" w:hAnsiTheme="minorHAnsi"/>
          <w:color w:val="000000" w:themeColor="text1"/>
          <w:lang w:val="en-US"/>
        </w:rPr>
        <w:t>e</w:t>
      </w:r>
      <w:r w:rsidRPr="00597974">
        <w:rPr>
          <w:rFonts w:asciiTheme="minorHAnsi" w:hAnsiTheme="minorHAnsi"/>
          <w:color w:val="000000" w:themeColor="text1"/>
          <w:lang w:val="en-US"/>
        </w:rPr>
        <w:t xml:space="preserve"> the </w:t>
      </w:r>
      <w:r w:rsidR="009336D9" w:rsidRPr="00597974">
        <w:rPr>
          <w:rFonts w:asciiTheme="minorHAnsi" w:hAnsiTheme="minorHAnsi" w:cs="Arial"/>
          <w:color w:val="222222"/>
          <w:lang w:val="en-US"/>
        </w:rPr>
        <w:t>methodological guidelines applicable to the stages of environmental impact assessment framework procedure</w:t>
      </w:r>
      <w:r w:rsidR="009336D9" w:rsidRPr="00597974">
        <w:rPr>
          <w:rFonts w:asciiTheme="minorHAnsi" w:hAnsiTheme="minorHAnsi"/>
          <w:color w:val="000000" w:themeColor="text1"/>
          <w:lang w:val="en-US"/>
        </w:rPr>
        <w:t xml:space="preserve"> </w:t>
      </w:r>
      <w:r w:rsidRPr="00597974">
        <w:rPr>
          <w:rFonts w:asciiTheme="minorHAnsi" w:hAnsiTheme="minorHAnsi"/>
          <w:color w:val="000000" w:themeColor="text1"/>
          <w:lang w:val="en-US"/>
        </w:rPr>
        <w:t>(approved through Order of Minister of</w:t>
      </w:r>
      <w:r w:rsidRPr="009336D9">
        <w:rPr>
          <w:rFonts w:asciiTheme="minorHAnsi" w:hAnsiTheme="minorHAnsi"/>
          <w:color w:val="000000" w:themeColor="text1"/>
          <w:lang w:val="en-US"/>
        </w:rPr>
        <w:t xml:space="preserve"> Environment No 863/2002</w:t>
      </w:r>
      <w:r w:rsidR="009336D9" w:rsidRPr="009336D9">
        <w:rPr>
          <w:rFonts w:asciiTheme="minorHAnsi" w:hAnsiTheme="minorHAnsi"/>
          <w:color w:val="000000" w:themeColor="text1"/>
          <w:lang w:val="en-US"/>
        </w:rPr>
        <w:t>)</w:t>
      </w:r>
      <w:r w:rsidR="009336D9" w:rsidRPr="009336D9">
        <w:rPr>
          <w:rFonts w:asciiTheme="minorHAnsi" w:hAnsiTheme="minorHAnsi" w:cs="Arial"/>
          <w:color w:val="222222"/>
          <w:lang w:val="en-US"/>
        </w:rPr>
        <w:t>. This methodological guidelines used by environmental authorities is going through various stages of the environmental impact assessment are:</w:t>
      </w:r>
    </w:p>
    <w:p w:rsidR="009336D9" w:rsidRPr="009336D9" w:rsidRDefault="009336D9" w:rsidP="009336D9">
      <w:pPr>
        <w:numPr>
          <w:ilvl w:val="0"/>
          <w:numId w:val="14"/>
        </w:numPr>
        <w:ind w:left="1066" w:hanging="357"/>
        <w:jc w:val="both"/>
        <w:rPr>
          <w:rStyle w:val="tpa1"/>
          <w:rFonts w:asciiTheme="minorHAnsi" w:hAnsiTheme="minorHAnsi"/>
          <w:lang w:val="en-US"/>
        </w:rPr>
      </w:pPr>
      <w:r w:rsidRPr="009336D9">
        <w:rPr>
          <w:rStyle w:val="tpa1"/>
          <w:rFonts w:asciiTheme="minorHAnsi" w:hAnsiTheme="minorHAnsi"/>
          <w:lang w:val="en-US"/>
        </w:rPr>
        <w:t>Methodological guide on the screening stage;</w:t>
      </w:r>
    </w:p>
    <w:p w:rsidR="009336D9" w:rsidRPr="009336D9" w:rsidRDefault="009336D9" w:rsidP="009336D9">
      <w:pPr>
        <w:numPr>
          <w:ilvl w:val="0"/>
          <w:numId w:val="14"/>
        </w:numPr>
        <w:ind w:left="1066" w:hanging="357"/>
        <w:jc w:val="both"/>
        <w:rPr>
          <w:rStyle w:val="tpa1"/>
          <w:rFonts w:asciiTheme="minorHAnsi" w:hAnsiTheme="minorHAnsi"/>
          <w:lang w:val="en-US"/>
        </w:rPr>
      </w:pPr>
      <w:r w:rsidRPr="009336D9">
        <w:rPr>
          <w:rStyle w:val="tpa1"/>
          <w:rFonts w:asciiTheme="minorHAnsi" w:hAnsiTheme="minorHAnsi"/>
          <w:lang w:val="en-US"/>
        </w:rPr>
        <w:t>Methodological guide on the scoping stage and on the elaboration of the EIA report. The second part of this guide includes the structures of the EIA report;</w:t>
      </w:r>
    </w:p>
    <w:p w:rsidR="009336D9" w:rsidRPr="009336D9" w:rsidRDefault="009336D9" w:rsidP="009336D9">
      <w:pPr>
        <w:numPr>
          <w:ilvl w:val="0"/>
          <w:numId w:val="14"/>
        </w:numPr>
        <w:ind w:left="1066" w:hanging="357"/>
        <w:jc w:val="both"/>
        <w:rPr>
          <w:rStyle w:val="tpa1"/>
        </w:rPr>
      </w:pPr>
      <w:r w:rsidRPr="009336D9">
        <w:rPr>
          <w:rStyle w:val="tpa1"/>
          <w:rFonts w:asciiTheme="minorHAnsi" w:hAnsiTheme="minorHAnsi"/>
          <w:lang w:val="en-US"/>
        </w:rPr>
        <w:t>Methodological guide on the EIA report quality review</w:t>
      </w:r>
      <w:r w:rsidRPr="009336D9">
        <w:rPr>
          <w:rStyle w:val="tpa1"/>
          <w:rFonts w:eastAsiaTheme="minorHAnsi"/>
          <w:lang w:val="en-US"/>
        </w:rPr>
        <w:t>.</w:t>
      </w:r>
    </w:p>
    <w:p w:rsidR="003760B7" w:rsidRPr="009336D9" w:rsidRDefault="009336D9" w:rsidP="009336D9">
      <w:pPr>
        <w:pStyle w:val="ListParagraph"/>
        <w:spacing w:before="120"/>
        <w:jc w:val="both"/>
        <w:rPr>
          <w:rFonts w:asciiTheme="minorHAnsi" w:hAnsiTheme="minorHAnsi"/>
          <w:color w:val="000000" w:themeColor="text1"/>
          <w:lang w:val="en-US"/>
        </w:rPr>
      </w:pPr>
      <w:r w:rsidRPr="009336D9">
        <w:rPr>
          <w:rFonts w:asciiTheme="minorHAnsi" w:hAnsiTheme="minorHAnsi"/>
          <w:color w:val="000000" w:themeColor="text1"/>
          <w:lang w:val="en-US"/>
        </w:rPr>
        <w:t xml:space="preserve">The updatind is </w:t>
      </w:r>
      <w:r w:rsidR="003760B7" w:rsidRPr="009336D9">
        <w:rPr>
          <w:rFonts w:asciiTheme="minorHAnsi" w:hAnsiTheme="minorHAnsi"/>
          <w:color w:val="000000" w:themeColor="text1"/>
          <w:lang w:val="en-US"/>
        </w:rPr>
        <w:t>according</w:t>
      </w:r>
      <w:r w:rsidR="00480AF3" w:rsidRPr="009336D9">
        <w:rPr>
          <w:rFonts w:asciiTheme="minorHAnsi" w:hAnsiTheme="minorHAnsi"/>
          <w:color w:val="000000" w:themeColor="text1"/>
          <w:lang w:val="en-US"/>
        </w:rPr>
        <w:t xml:space="preserve"> to:</w:t>
      </w:r>
    </w:p>
    <w:p w:rsidR="00A40F26" w:rsidRPr="009336D9" w:rsidRDefault="00A40F26" w:rsidP="00A40F26">
      <w:pPr>
        <w:numPr>
          <w:ilvl w:val="0"/>
          <w:numId w:val="14"/>
        </w:numPr>
        <w:ind w:left="1066" w:hanging="357"/>
        <w:jc w:val="both"/>
        <w:rPr>
          <w:rFonts w:asciiTheme="minorHAnsi" w:eastAsia="MS Mincho" w:hAnsiTheme="minorHAnsi"/>
          <w:bCs/>
          <w:iCs/>
          <w:noProof w:val="0"/>
          <w:lang w:val="en-US"/>
        </w:rPr>
      </w:pPr>
      <w:r w:rsidRPr="009336D9">
        <w:rPr>
          <w:rFonts w:asciiTheme="minorHAnsi" w:eastAsia="MS Mincho" w:hAnsiTheme="minorHAnsi"/>
          <w:bCs/>
          <w:iCs/>
          <w:noProof w:val="0"/>
          <w:lang w:val="en-US"/>
        </w:rPr>
        <w:t xml:space="preserve">horizontal application of the </w:t>
      </w:r>
      <w:r w:rsidR="00AF7E7D" w:rsidRPr="009336D9">
        <w:rPr>
          <w:rFonts w:asciiTheme="minorHAnsi" w:eastAsia="MS Mincho" w:hAnsiTheme="minorHAnsi"/>
          <w:bCs/>
          <w:iCs/>
          <w:noProof w:val="0"/>
          <w:lang w:val="en-US"/>
        </w:rPr>
        <w:t>guidelines</w:t>
      </w:r>
      <w:r w:rsidRPr="009336D9">
        <w:rPr>
          <w:rFonts w:asciiTheme="minorHAnsi" w:eastAsia="MS Mincho" w:hAnsiTheme="minorHAnsi"/>
          <w:bCs/>
          <w:iCs/>
          <w:noProof w:val="0"/>
          <w:lang w:val="en-US"/>
        </w:rPr>
        <w:t xml:space="preserve"> elaborated in 2002;</w:t>
      </w:r>
    </w:p>
    <w:p w:rsidR="00A40F26" w:rsidRPr="009336D9" w:rsidRDefault="00A40F26" w:rsidP="00A40F26">
      <w:pPr>
        <w:numPr>
          <w:ilvl w:val="0"/>
          <w:numId w:val="14"/>
        </w:numPr>
        <w:ind w:left="1066" w:hanging="357"/>
        <w:jc w:val="both"/>
        <w:rPr>
          <w:rFonts w:asciiTheme="minorHAnsi" w:eastAsia="MS Mincho" w:hAnsiTheme="minorHAnsi"/>
          <w:bCs/>
          <w:iCs/>
          <w:noProof w:val="0"/>
          <w:lang w:val="en-US"/>
        </w:rPr>
      </w:pPr>
      <w:r w:rsidRPr="009336D9">
        <w:rPr>
          <w:rFonts w:asciiTheme="minorHAnsi" w:eastAsia="MS Mincho" w:hAnsiTheme="minorHAnsi"/>
          <w:bCs/>
          <w:iCs/>
          <w:noProof w:val="0"/>
          <w:lang w:val="en-US"/>
        </w:rPr>
        <w:t>repeated changes to legislation;</w:t>
      </w:r>
    </w:p>
    <w:p w:rsidR="00A40F26" w:rsidRPr="00A35011" w:rsidRDefault="00A40F26" w:rsidP="00A40F26">
      <w:pPr>
        <w:numPr>
          <w:ilvl w:val="0"/>
          <w:numId w:val="14"/>
        </w:numPr>
        <w:ind w:left="1066" w:hanging="357"/>
        <w:jc w:val="both"/>
        <w:rPr>
          <w:rFonts w:asciiTheme="minorHAnsi" w:eastAsia="MS Mincho" w:hAnsiTheme="minorHAnsi"/>
          <w:bCs/>
          <w:iCs/>
          <w:noProof w:val="0"/>
          <w:lang w:val="en-US"/>
        </w:rPr>
      </w:pPr>
      <w:r w:rsidRPr="00A35011">
        <w:rPr>
          <w:rFonts w:asciiTheme="minorHAnsi" w:eastAsia="MS Mincho" w:hAnsiTheme="minorHAnsi"/>
          <w:bCs/>
          <w:iCs/>
          <w:noProof w:val="0"/>
          <w:lang w:val="en-US"/>
        </w:rPr>
        <w:t>relevant aspects in the application of the EIA Directive resulted from the cases of the European Court of Justice;</w:t>
      </w:r>
    </w:p>
    <w:p w:rsidR="00A40F26" w:rsidRPr="00A35011" w:rsidRDefault="00A40F26" w:rsidP="00A40F26">
      <w:pPr>
        <w:numPr>
          <w:ilvl w:val="0"/>
          <w:numId w:val="14"/>
        </w:numPr>
        <w:ind w:left="1066" w:hanging="357"/>
        <w:jc w:val="both"/>
        <w:rPr>
          <w:rFonts w:asciiTheme="minorHAnsi" w:eastAsia="MS Mincho" w:hAnsiTheme="minorHAnsi"/>
          <w:bCs/>
          <w:iCs/>
          <w:noProof w:val="0"/>
          <w:lang w:val="en-US"/>
        </w:rPr>
      </w:pPr>
      <w:r w:rsidRPr="00A35011">
        <w:rPr>
          <w:rFonts w:asciiTheme="minorHAnsi" w:eastAsia="MS Mincho" w:hAnsiTheme="minorHAnsi"/>
          <w:bCs/>
          <w:iCs/>
          <w:noProof w:val="0"/>
          <w:lang w:val="en-US"/>
        </w:rPr>
        <w:lastRenderedPageBreak/>
        <w:t xml:space="preserve">The need to develop some chapters in the EIA Report, currently dealt very vague (the term "cumulative impact") or non-existent </w:t>
      </w:r>
      <w:r w:rsidR="001F52EB" w:rsidRPr="00A35011">
        <w:rPr>
          <w:rFonts w:asciiTheme="minorHAnsi" w:eastAsia="MS Mincho" w:hAnsiTheme="minorHAnsi"/>
          <w:bCs/>
          <w:iCs/>
          <w:noProof w:val="0"/>
          <w:lang w:val="en-US"/>
        </w:rPr>
        <w:t>(ex.</w:t>
      </w:r>
      <w:r w:rsidRPr="00A35011">
        <w:rPr>
          <w:rFonts w:asciiTheme="minorHAnsi" w:eastAsia="MS Mincho" w:hAnsiTheme="minorHAnsi"/>
          <w:bCs/>
          <w:iCs/>
          <w:noProof w:val="0"/>
          <w:lang w:val="en-US"/>
        </w:rPr>
        <w:t xml:space="preserve"> climate change - particularly important in the context of the new EIA Directive 2014/52 / EU).</w:t>
      </w:r>
    </w:p>
    <w:p w:rsidR="00977580" w:rsidRPr="00A35011" w:rsidRDefault="00977580" w:rsidP="00B463F3">
      <w:pPr>
        <w:pStyle w:val="ListParagraph"/>
        <w:numPr>
          <w:ilvl w:val="0"/>
          <w:numId w:val="2"/>
        </w:numPr>
        <w:spacing w:before="120"/>
        <w:jc w:val="both"/>
        <w:outlineLvl w:val="0"/>
        <w:rPr>
          <w:rFonts w:asciiTheme="minorHAnsi" w:hAnsiTheme="minorHAnsi"/>
          <w:color w:val="000000" w:themeColor="text1"/>
          <w:lang w:val="en-US"/>
        </w:rPr>
      </w:pPr>
      <w:r w:rsidRPr="00A35011">
        <w:rPr>
          <w:rFonts w:asciiTheme="minorHAnsi" w:hAnsiTheme="minorHAnsi"/>
          <w:color w:val="000000" w:themeColor="text1"/>
          <w:lang w:val="en-US"/>
        </w:rPr>
        <w:t>Translat</w:t>
      </w:r>
      <w:r w:rsidR="003D00BF" w:rsidRPr="00A35011">
        <w:rPr>
          <w:rFonts w:asciiTheme="minorHAnsi" w:hAnsiTheme="minorHAnsi"/>
          <w:color w:val="000000" w:themeColor="text1"/>
          <w:lang w:val="en-US"/>
        </w:rPr>
        <w:t>e</w:t>
      </w:r>
      <w:r w:rsidRPr="00A35011">
        <w:rPr>
          <w:rFonts w:asciiTheme="minorHAnsi" w:hAnsiTheme="minorHAnsi"/>
          <w:color w:val="000000" w:themeColor="text1"/>
          <w:lang w:val="en-US"/>
        </w:rPr>
        <w:t xml:space="preserve"> and adapt two JASPERS guides (for incinerators and transboundary EIA).</w:t>
      </w:r>
    </w:p>
    <w:p w:rsidR="00977580" w:rsidRPr="00A35011" w:rsidRDefault="00977580" w:rsidP="00977580">
      <w:pPr>
        <w:pStyle w:val="ListParagraph"/>
        <w:spacing w:before="120"/>
        <w:ind w:left="0"/>
        <w:jc w:val="both"/>
        <w:rPr>
          <w:rFonts w:asciiTheme="minorHAnsi" w:hAnsiTheme="minorHAnsi"/>
          <w:color w:val="000000"/>
          <w:shd w:val="clear" w:color="auto" w:fill="FFFFFF"/>
          <w:lang w:val="en-US"/>
        </w:rPr>
      </w:pPr>
    </w:p>
    <w:p w:rsidR="00E679FF" w:rsidRPr="00A35011" w:rsidRDefault="00DF43D0" w:rsidP="00003A68">
      <w:pPr>
        <w:pStyle w:val="ListParagraph"/>
        <w:numPr>
          <w:ilvl w:val="0"/>
          <w:numId w:val="15"/>
        </w:numPr>
        <w:spacing w:before="120"/>
        <w:jc w:val="both"/>
        <w:rPr>
          <w:rFonts w:asciiTheme="minorHAnsi" w:hAnsiTheme="minorHAnsi"/>
          <w:b/>
          <w:color w:val="17365D" w:themeColor="text2" w:themeShade="BF"/>
          <w:lang w:val="en-US"/>
        </w:rPr>
      </w:pPr>
      <w:r w:rsidRPr="00A35011">
        <w:rPr>
          <w:rFonts w:asciiTheme="minorHAnsi" w:hAnsiTheme="minorHAnsi"/>
          <w:b/>
          <w:color w:val="17365D" w:themeColor="text2" w:themeShade="BF"/>
          <w:lang w:val="en-US"/>
        </w:rPr>
        <w:t>Approach and m</w:t>
      </w:r>
      <w:r w:rsidR="00E679FF" w:rsidRPr="00A35011">
        <w:rPr>
          <w:rFonts w:asciiTheme="minorHAnsi" w:hAnsiTheme="minorHAnsi"/>
          <w:b/>
          <w:color w:val="17365D" w:themeColor="text2" w:themeShade="BF"/>
          <w:lang w:val="en-US"/>
        </w:rPr>
        <w:t>ilestones for preparing the remaining guidelines</w:t>
      </w:r>
    </w:p>
    <w:p w:rsidR="00A5296D" w:rsidRPr="00A35011" w:rsidRDefault="00B03578" w:rsidP="00674534">
      <w:pPr>
        <w:spacing w:before="120" w:after="120"/>
        <w:jc w:val="both"/>
        <w:rPr>
          <w:rFonts w:asciiTheme="minorHAnsi" w:eastAsia="MS Mincho" w:hAnsiTheme="minorHAnsi"/>
          <w:iCs/>
          <w:noProof w:val="0"/>
          <w:lang w:val="en-US"/>
        </w:rPr>
      </w:pPr>
      <w:r w:rsidRPr="00A35011">
        <w:rPr>
          <w:rFonts w:asciiTheme="minorHAnsi" w:eastAsia="MS Mincho" w:hAnsiTheme="minorHAnsi"/>
          <w:iCs/>
          <w:noProof w:val="0"/>
          <w:lang w:val="en-US"/>
        </w:rPr>
        <w:t xml:space="preserve">Drafting of the new guidelines will be </w:t>
      </w:r>
      <w:r w:rsidR="00327529" w:rsidRPr="00A35011">
        <w:rPr>
          <w:rFonts w:asciiTheme="minorHAnsi" w:eastAsia="MS Mincho" w:hAnsiTheme="minorHAnsi"/>
          <w:iCs/>
          <w:noProof w:val="0"/>
          <w:lang w:val="en-US"/>
        </w:rPr>
        <w:t>realized</w:t>
      </w:r>
      <w:r w:rsidRPr="00A35011">
        <w:rPr>
          <w:rFonts w:asciiTheme="minorHAnsi" w:eastAsia="MS Mincho" w:hAnsiTheme="minorHAnsi"/>
          <w:iCs/>
          <w:noProof w:val="0"/>
          <w:lang w:val="en-US"/>
        </w:rPr>
        <w:t xml:space="preserve"> through an ESF project, financ</w:t>
      </w:r>
      <w:r w:rsidR="002630C1" w:rsidRPr="00A35011">
        <w:rPr>
          <w:rFonts w:asciiTheme="minorHAnsi" w:eastAsia="MS Mincho" w:hAnsiTheme="minorHAnsi"/>
          <w:iCs/>
          <w:noProof w:val="0"/>
          <w:lang w:val="en-US"/>
        </w:rPr>
        <w:t>e</w:t>
      </w:r>
      <w:r w:rsidRPr="00A35011">
        <w:rPr>
          <w:rFonts w:asciiTheme="minorHAnsi" w:eastAsia="MS Mincho" w:hAnsiTheme="minorHAnsi"/>
          <w:iCs/>
          <w:noProof w:val="0"/>
          <w:lang w:val="en-US"/>
        </w:rPr>
        <w:t>d under OP Administrative Capacity. The project will be submit</w:t>
      </w:r>
      <w:r w:rsidR="002630C1" w:rsidRPr="00A35011">
        <w:rPr>
          <w:rFonts w:asciiTheme="minorHAnsi" w:eastAsia="MS Mincho" w:hAnsiTheme="minorHAnsi"/>
          <w:iCs/>
          <w:noProof w:val="0"/>
          <w:lang w:val="en-US"/>
        </w:rPr>
        <w:t>ted for approv</w:t>
      </w:r>
      <w:r w:rsidRPr="00A35011">
        <w:rPr>
          <w:rFonts w:asciiTheme="minorHAnsi" w:eastAsia="MS Mincho" w:hAnsiTheme="minorHAnsi"/>
          <w:iCs/>
          <w:noProof w:val="0"/>
          <w:lang w:val="en-US"/>
        </w:rPr>
        <w:t>al under the fi</w:t>
      </w:r>
      <w:r w:rsidR="002630C1" w:rsidRPr="00A35011">
        <w:rPr>
          <w:rFonts w:asciiTheme="minorHAnsi" w:eastAsia="MS Mincho" w:hAnsiTheme="minorHAnsi"/>
          <w:iCs/>
          <w:noProof w:val="0"/>
          <w:lang w:val="en-US"/>
        </w:rPr>
        <w:t>rst call of projects under OP AC, in May</w:t>
      </w:r>
      <w:r w:rsidR="00A5296D" w:rsidRPr="00A35011">
        <w:rPr>
          <w:rFonts w:asciiTheme="minorHAnsi" w:eastAsia="MS Mincho" w:hAnsiTheme="minorHAnsi"/>
          <w:iCs/>
          <w:noProof w:val="0"/>
          <w:lang w:val="en-US"/>
        </w:rPr>
        <w:t>/June 2015.</w:t>
      </w:r>
    </w:p>
    <w:p w:rsidR="00F5346A" w:rsidRPr="00A35011" w:rsidRDefault="005E2947" w:rsidP="00674534">
      <w:pPr>
        <w:spacing w:before="120" w:after="120"/>
        <w:jc w:val="both"/>
        <w:rPr>
          <w:rFonts w:asciiTheme="minorHAnsi" w:eastAsia="MS Mincho" w:hAnsiTheme="minorHAnsi"/>
          <w:iCs/>
          <w:noProof w:val="0"/>
          <w:lang w:val="en-US"/>
        </w:rPr>
      </w:pPr>
      <w:r w:rsidRPr="00A35011">
        <w:rPr>
          <w:rFonts w:asciiTheme="minorHAnsi" w:eastAsia="MS Mincho" w:hAnsiTheme="minorHAnsi"/>
          <w:iCs/>
          <w:noProof w:val="0"/>
          <w:lang w:val="en-US"/>
        </w:rPr>
        <w:t>It</w:t>
      </w:r>
      <w:r w:rsidR="00F5346A" w:rsidRPr="00A35011">
        <w:rPr>
          <w:rFonts w:asciiTheme="minorHAnsi" w:eastAsia="MS Mincho" w:hAnsiTheme="minorHAnsi"/>
          <w:iCs/>
          <w:noProof w:val="0"/>
          <w:lang w:val="en-US"/>
        </w:rPr>
        <w:t xml:space="preserve"> is estimated that the project will be approved by </w:t>
      </w:r>
      <w:r w:rsidR="00A5296D" w:rsidRPr="00A35011">
        <w:rPr>
          <w:rFonts w:asciiTheme="minorHAnsi" w:eastAsia="MS Mincho" w:hAnsiTheme="minorHAnsi"/>
          <w:iCs/>
          <w:noProof w:val="0"/>
          <w:lang w:val="en-US"/>
        </w:rPr>
        <w:t>September</w:t>
      </w:r>
      <w:r w:rsidR="00E028EB" w:rsidRPr="00A35011">
        <w:rPr>
          <w:rFonts w:asciiTheme="minorHAnsi" w:eastAsia="MS Mincho" w:hAnsiTheme="minorHAnsi"/>
          <w:iCs/>
          <w:noProof w:val="0"/>
          <w:lang w:val="en-US"/>
        </w:rPr>
        <w:t xml:space="preserve"> this year</w:t>
      </w:r>
      <w:r w:rsidR="00F5346A" w:rsidRPr="00A35011">
        <w:rPr>
          <w:rFonts w:asciiTheme="minorHAnsi" w:eastAsia="MS Mincho" w:hAnsiTheme="minorHAnsi"/>
          <w:iCs/>
          <w:noProof w:val="0"/>
          <w:lang w:val="en-US"/>
        </w:rPr>
        <w:t xml:space="preserve">, allowing </w:t>
      </w:r>
      <w:r w:rsidR="0068306F" w:rsidRPr="00A35011">
        <w:rPr>
          <w:rFonts w:asciiTheme="minorHAnsi" w:eastAsia="MS Mincho" w:hAnsiTheme="minorHAnsi"/>
          <w:iCs/>
          <w:noProof w:val="0"/>
          <w:lang w:val="en-US"/>
        </w:rPr>
        <w:t>starting</w:t>
      </w:r>
      <w:r w:rsidR="00F5346A" w:rsidRPr="00A35011">
        <w:rPr>
          <w:rFonts w:asciiTheme="minorHAnsi" w:eastAsia="MS Mincho" w:hAnsiTheme="minorHAnsi"/>
          <w:iCs/>
          <w:noProof w:val="0"/>
          <w:lang w:val="en-US"/>
        </w:rPr>
        <w:t xml:space="preserve"> the effective implementation of guidelines in </w:t>
      </w:r>
      <w:r w:rsidR="00A5296D" w:rsidRPr="00A35011">
        <w:rPr>
          <w:rFonts w:asciiTheme="minorHAnsi" w:eastAsia="MS Mincho" w:hAnsiTheme="minorHAnsi"/>
          <w:iCs/>
          <w:noProof w:val="0"/>
          <w:lang w:val="en-US"/>
        </w:rPr>
        <w:t>December</w:t>
      </w:r>
      <w:r w:rsidR="00F5346A" w:rsidRPr="00A35011">
        <w:rPr>
          <w:rFonts w:asciiTheme="minorHAnsi" w:eastAsia="MS Mincho" w:hAnsiTheme="minorHAnsi"/>
          <w:iCs/>
          <w:noProof w:val="0"/>
          <w:lang w:val="en-US"/>
        </w:rPr>
        <w:t xml:space="preserve"> 2015.</w:t>
      </w:r>
    </w:p>
    <w:p w:rsidR="00F5346A" w:rsidRPr="00A35011" w:rsidRDefault="00F5346A" w:rsidP="00674534">
      <w:pPr>
        <w:pStyle w:val="ListParagraph"/>
        <w:spacing w:before="120" w:after="120"/>
        <w:ind w:left="0"/>
        <w:jc w:val="both"/>
        <w:rPr>
          <w:rFonts w:asciiTheme="minorHAnsi" w:hAnsiTheme="minorHAnsi"/>
          <w:color w:val="000000" w:themeColor="text1"/>
          <w:lang w:val="en-US"/>
        </w:rPr>
      </w:pPr>
      <w:r w:rsidRPr="00A35011">
        <w:rPr>
          <w:rFonts w:asciiTheme="minorHAnsi" w:hAnsiTheme="minorHAnsi"/>
          <w:color w:val="000000" w:themeColor="text1"/>
          <w:lang w:val="en-US"/>
        </w:rPr>
        <w:t xml:space="preserve">The duration of the project is </w:t>
      </w:r>
      <w:r w:rsidR="00A5296D" w:rsidRPr="00A35011">
        <w:rPr>
          <w:rFonts w:asciiTheme="minorHAnsi" w:hAnsiTheme="minorHAnsi"/>
          <w:color w:val="000000" w:themeColor="text1"/>
          <w:lang w:val="en-US"/>
        </w:rPr>
        <w:t>2</w:t>
      </w:r>
      <w:r w:rsidRPr="00A35011">
        <w:rPr>
          <w:rFonts w:asciiTheme="minorHAnsi" w:hAnsiTheme="minorHAnsi"/>
          <w:color w:val="000000" w:themeColor="text1"/>
          <w:lang w:val="en-US"/>
        </w:rPr>
        <w:t xml:space="preserve"> years, out of which:</w:t>
      </w:r>
    </w:p>
    <w:p w:rsidR="00F5346A" w:rsidRPr="00A35011" w:rsidRDefault="00F5346A" w:rsidP="00C319FA">
      <w:pPr>
        <w:numPr>
          <w:ilvl w:val="0"/>
          <w:numId w:val="14"/>
        </w:numPr>
        <w:ind w:left="1066" w:hanging="357"/>
        <w:jc w:val="both"/>
        <w:rPr>
          <w:rFonts w:asciiTheme="minorHAnsi" w:eastAsia="MS Mincho" w:hAnsiTheme="minorHAnsi"/>
          <w:bCs/>
          <w:iCs/>
          <w:noProof w:val="0"/>
          <w:lang w:val="en-US"/>
        </w:rPr>
      </w:pPr>
      <w:r w:rsidRPr="00A35011">
        <w:rPr>
          <w:rFonts w:asciiTheme="minorHAnsi" w:eastAsia="MS Mincho" w:hAnsiTheme="minorHAnsi"/>
          <w:bCs/>
          <w:iCs/>
          <w:noProof w:val="0"/>
          <w:lang w:val="en-US"/>
        </w:rPr>
        <w:t>The first year will be focused in drafting the new guidelines (</w:t>
      </w:r>
      <w:r w:rsidR="00A5296D" w:rsidRPr="00A35011">
        <w:rPr>
          <w:rFonts w:asciiTheme="minorHAnsi" w:eastAsia="MS Mincho" w:hAnsiTheme="minorHAnsi"/>
          <w:bCs/>
          <w:iCs/>
          <w:noProof w:val="0"/>
          <w:lang w:val="en-US"/>
        </w:rPr>
        <w:t>December</w:t>
      </w:r>
      <w:r w:rsidRPr="00A35011">
        <w:rPr>
          <w:rFonts w:asciiTheme="minorHAnsi" w:eastAsia="MS Mincho" w:hAnsiTheme="minorHAnsi"/>
          <w:bCs/>
          <w:iCs/>
          <w:noProof w:val="0"/>
          <w:lang w:val="en-US"/>
        </w:rPr>
        <w:t xml:space="preserve"> 2015 – </w:t>
      </w:r>
      <w:r w:rsidR="00A5296D" w:rsidRPr="00A35011">
        <w:rPr>
          <w:rFonts w:asciiTheme="minorHAnsi" w:eastAsia="MS Mincho" w:hAnsiTheme="minorHAnsi"/>
          <w:bCs/>
          <w:iCs/>
          <w:noProof w:val="0"/>
          <w:lang w:val="en-US"/>
        </w:rPr>
        <w:t>October</w:t>
      </w:r>
      <w:r w:rsidRPr="00A35011">
        <w:rPr>
          <w:rFonts w:asciiTheme="minorHAnsi" w:eastAsia="MS Mincho" w:hAnsiTheme="minorHAnsi"/>
          <w:bCs/>
          <w:iCs/>
          <w:noProof w:val="0"/>
          <w:lang w:val="en-US"/>
        </w:rPr>
        <w:t xml:space="preserve"> 2016)</w:t>
      </w:r>
    </w:p>
    <w:p w:rsidR="00A5296D" w:rsidRPr="00A35011" w:rsidRDefault="00F5346A" w:rsidP="00C319FA">
      <w:pPr>
        <w:numPr>
          <w:ilvl w:val="0"/>
          <w:numId w:val="14"/>
        </w:numPr>
        <w:ind w:left="1066" w:hanging="357"/>
        <w:jc w:val="both"/>
        <w:rPr>
          <w:rFonts w:asciiTheme="minorHAnsi" w:hAnsiTheme="minorHAnsi"/>
          <w:b/>
          <w:color w:val="17365D" w:themeColor="text2" w:themeShade="BF"/>
          <w:lang w:val="en-US"/>
        </w:rPr>
      </w:pPr>
      <w:r w:rsidRPr="00A35011">
        <w:rPr>
          <w:rFonts w:asciiTheme="minorHAnsi" w:eastAsia="MS Mincho" w:hAnsiTheme="minorHAnsi"/>
          <w:bCs/>
          <w:iCs/>
          <w:noProof w:val="0"/>
          <w:lang w:val="en-US"/>
        </w:rPr>
        <w:t xml:space="preserve">The next year will </w:t>
      </w:r>
      <w:r w:rsidRPr="003918A0">
        <w:rPr>
          <w:rFonts w:asciiTheme="minorHAnsi" w:eastAsia="MS Mincho" w:hAnsiTheme="minorHAnsi"/>
          <w:bCs/>
          <w:iCs/>
          <w:noProof w:val="0"/>
          <w:lang w:val="en-US"/>
        </w:rPr>
        <w:t>be dedicated to</w:t>
      </w:r>
      <w:r w:rsidR="00A5296D" w:rsidRPr="003918A0">
        <w:rPr>
          <w:rFonts w:asciiTheme="minorHAnsi" w:eastAsia="MS Mincho" w:hAnsiTheme="minorHAnsi"/>
          <w:bCs/>
          <w:iCs/>
          <w:noProof w:val="0"/>
          <w:lang w:val="en-US"/>
        </w:rPr>
        <w:t xml:space="preserve"> training </w:t>
      </w:r>
      <w:r w:rsidR="00D805B8" w:rsidRPr="003918A0">
        <w:rPr>
          <w:rFonts w:asciiTheme="minorHAnsi" w:eastAsia="MS Mincho" w:hAnsiTheme="minorHAnsi"/>
          <w:bCs/>
          <w:iCs/>
          <w:noProof w:val="0"/>
          <w:lang w:val="en-US"/>
        </w:rPr>
        <w:t xml:space="preserve">to the environmental authority </w:t>
      </w:r>
      <w:r w:rsidR="00A5296D" w:rsidRPr="003918A0">
        <w:rPr>
          <w:rFonts w:asciiTheme="minorHAnsi" w:eastAsia="MS Mincho" w:hAnsiTheme="minorHAnsi"/>
          <w:bCs/>
          <w:iCs/>
          <w:noProof w:val="0"/>
          <w:lang w:val="en-US"/>
        </w:rPr>
        <w:t xml:space="preserve">and dissemination </w:t>
      </w:r>
      <w:r w:rsidRPr="003918A0">
        <w:rPr>
          <w:rFonts w:asciiTheme="minorHAnsi" w:eastAsia="MS Mincho" w:hAnsiTheme="minorHAnsi"/>
          <w:bCs/>
          <w:iCs/>
          <w:noProof w:val="0"/>
          <w:lang w:val="en-US"/>
        </w:rPr>
        <w:t>activities</w:t>
      </w:r>
      <w:r w:rsidR="00D805B8" w:rsidRPr="003918A0">
        <w:rPr>
          <w:rFonts w:asciiTheme="minorHAnsi" w:eastAsia="MS Mincho" w:hAnsiTheme="minorHAnsi"/>
          <w:bCs/>
          <w:iCs/>
          <w:noProof w:val="0"/>
          <w:lang w:val="en-US"/>
        </w:rPr>
        <w:t xml:space="preserve"> to the owner and consultants</w:t>
      </w:r>
      <w:r w:rsidR="0068306F" w:rsidRPr="003918A0">
        <w:rPr>
          <w:rFonts w:asciiTheme="minorHAnsi" w:eastAsia="MS Mincho" w:hAnsiTheme="minorHAnsi"/>
          <w:bCs/>
          <w:iCs/>
          <w:noProof w:val="0"/>
          <w:lang w:val="en-US"/>
        </w:rPr>
        <w:t>, of the technical assistance project financed by the</w:t>
      </w:r>
      <w:r w:rsidR="0068306F" w:rsidRPr="00A35011">
        <w:rPr>
          <w:rFonts w:asciiTheme="minorHAnsi" w:eastAsia="MS Mincho" w:hAnsiTheme="minorHAnsi"/>
          <w:bCs/>
          <w:iCs/>
          <w:noProof w:val="0"/>
          <w:lang w:val="en-US"/>
        </w:rPr>
        <w:t xml:space="preserve"> OPTA</w:t>
      </w:r>
      <w:r w:rsidR="00062A36" w:rsidRPr="00A35011">
        <w:rPr>
          <w:rFonts w:asciiTheme="minorHAnsi" w:eastAsia="MS Mincho" w:hAnsiTheme="minorHAnsi"/>
          <w:bCs/>
          <w:iCs/>
          <w:noProof w:val="0"/>
          <w:lang w:val="en-US"/>
        </w:rPr>
        <w:t xml:space="preserve"> 2007-2013</w:t>
      </w:r>
      <w:r w:rsidR="00A5296D" w:rsidRPr="00A35011">
        <w:rPr>
          <w:rFonts w:asciiTheme="minorHAnsi" w:hAnsiTheme="minorHAnsi"/>
          <w:color w:val="000000" w:themeColor="text1"/>
          <w:lang w:val="en-US"/>
        </w:rPr>
        <w:t>.</w:t>
      </w:r>
    </w:p>
    <w:p w:rsidR="002D1538" w:rsidRPr="00127AFB" w:rsidRDefault="00D805B8" w:rsidP="002D1538">
      <w:pPr>
        <w:spacing w:before="120" w:after="120"/>
        <w:jc w:val="both"/>
        <w:rPr>
          <w:rFonts w:asciiTheme="minorHAnsi" w:eastAsia="MS Mincho" w:hAnsiTheme="minorHAnsi"/>
          <w:iCs/>
          <w:noProof w:val="0"/>
          <w:lang w:val="en-US"/>
        </w:rPr>
      </w:pPr>
      <w:r w:rsidRPr="003918A0">
        <w:rPr>
          <w:rFonts w:asciiTheme="minorHAnsi" w:eastAsia="MS Mincho" w:hAnsiTheme="minorHAnsi"/>
          <w:iCs/>
          <w:noProof w:val="0"/>
          <w:lang w:val="en-US"/>
        </w:rPr>
        <w:t>D</w:t>
      </w:r>
      <w:r w:rsidR="008666E6" w:rsidRPr="003918A0">
        <w:rPr>
          <w:rFonts w:asciiTheme="minorHAnsi" w:eastAsia="MS Mincho" w:hAnsiTheme="minorHAnsi"/>
          <w:iCs/>
          <w:noProof w:val="0"/>
          <w:lang w:val="en-US"/>
        </w:rPr>
        <w:t>issemination sessions will envisage the modality of application of the new guidelines by the</w:t>
      </w:r>
      <w:r w:rsidR="002D1538" w:rsidRPr="003918A0">
        <w:rPr>
          <w:rFonts w:asciiTheme="minorHAnsi" w:eastAsia="MS Mincho" w:hAnsiTheme="minorHAnsi"/>
          <w:iCs/>
          <w:noProof w:val="0"/>
          <w:lang w:val="en-US"/>
        </w:rPr>
        <w:t xml:space="preserve"> consultants from National Register of elaborators of environmental impact studies; potential beneficiaries of EU or national funding, where the fields are relevant; local and central </w:t>
      </w:r>
      <w:r w:rsidR="00A4755C" w:rsidRPr="003918A0">
        <w:rPr>
          <w:rFonts w:asciiTheme="minorHAnsi" w:eastAsia="MS Mincho" w:hAnsiTheme="minorHAnsi"/>
          <w:iCs/>
          <w:noProof w:val="0"/>
          <w:lang w:val="en-US"/>
        </w:rPr>
        <w:t>authorities’</w:t>
      </w:r>
      <w:r w:rsidR="002D1538" w:rsidRPr="003918A0">
        <w:rPr>
          <w:rFonts w:asciiTheme="minorHAnsi" w:eastAsia="MS Mincho" w:hAnsiTheme="minorHAnsi"/>
          <w:iCs/>
          <w:noProof w:val="0"/>
          <w:lang w:val="en-US"/>
        </w:rPr>
        <w:t xml:space="preserve"> active in the fields relevant to the promoted guides.</w:t>
      </w:r>
    </w:p>
    <w:p w:rsidR="00B463F3" w:rsidRDefault="00B463F3" w:rsidP="00C319FA">
      <w:pPr>
        <w:pStyle w:val="ListParagraph"/>
        <w:spacing w:before="120"/>
        <w:ind w:left="1066"/>
        <w:jc w:val="both"/>
        <w:rPr>
          <w:rFonts w:asciiTheme="minorHAnsi" w:hAnsiTheme="minorHAnsi"/>
          <w:b/>
          <w:color w:val="17365D" w:themeColor="text2" w:themeShade="BF"/>
          <w:lang w:val="en-US"/>
        </w:rPr>
      </w:pPr>
    </w:p>
    <w:p w:rsidR="00E679FF" w:rsidRPr="00A35011" w:rsidRDefault="00E679FF" w:rsidP="00003A68">
      <w:pPr>
        <w:pStyle w:val="ListParagraph"/>
        <w:numPr>
          <w:ilvl w:val="0"/>
          <w:numId w:val="15"/>
        </w:numPr>
        <w:spacing w:before="120"/>
        <w:jc w:val="both"/>
        <w:rPr>
          <w:rFonts w:asciiTheme="minorHAnsi" w:hAnsiTheme="minorHAnsi"/>
          <w:b/>
          <w:color w:val="17365D" w:themeColor="text2" w:themeShade="BF"/>
          <w:lang w:val="en-US"/>
        </w:rPr>
      </w:pPr>
      <w:r w:rsidRPr="00A35011">
        <w:rPr>
          <w:rFonts w:asciiTheme="minorHAnsi" w:hAnsiTheme="minorHAnsi"/>
          <w:b/>
          <w:color w:val="17365D" w:themeColor="text2" w:themeShade="BF"/>
          <w:lang w:val="en-US"/>
        </w:rPr>
        <w:t>Organisation of subsequent tailored dissemination / training sessions</w:t>
      </w:r>
    </w:p>
    <w:p w:rsidR="005E2947" w:rsidRPr="00A35011" w:rsidRDefault="005E2947" w:rsidP="00393E4A">
      <w:pPr>
        <w:spacing w:before="120" w:after="120"/>
        <w:jc w:val="both"/>
        <w:rPr>
          <w:rFonts w:asciiTheme="minorHAnsi" w:eastAsia="MS Mincho" w:hAnsiTheme="minorHAnsi"/>
          <w:iCs/>
          <w:noProof w:val="0"/>
          <w:lang w:val="en-US"/>
        </w:rPr>
      </w:pPr>
      <w:r w:rsidRPr="00A35011">
        <w:rPr>
          <w:rFonts w:asciiTheme="minorHAnsi" w:eastAsia="MS Mincho" w:hAnsiTheme="minorHAnsi"/>
          <w:iCs/>
          <w:noProof w:val="0"/>
          <w:lang w:val="en-US"/>
        </w:rPr>
        <w:t xml:space="preserve">The dissemination </w:t>
      </w:r>
      <w:r w:rsidR="00327529" w:rsidRPr="0091776A">
        <w:rPr>
          <w:rFonts w:asciiTheme="minorHAnsi" w:eastAsia="MS Mincho" w:hAnsiTheme="minorHAnsi"/>
          <w:iCs/>
          <w:noProof w:val="0"/>
          <w:lang w:val="en-US"/>
        </w:rPr>
        <w:t xml:space="preserve">of </w:t>
      </w:r>
      <w:r w:rsidR="00327529" w:rsidRPr="003918A0">
        <w:rPr>
          <w:rFonts w:asciiTheme="minorHAnsi" w:eastAsia="MS Mincho" w:hAnsiTheme="minorHAnsi"/>
          <w:iCs/>
          <w:noProof w:val="0"/>
          <w:lang w:val="en-US"/>
        </w:rPr>
        <w:t>the new guidance</w:t>
      </w:r>
      <w:r w:rsidR="00327529" w:rsidRPr="0091776A">
        <w:rPr>
          <w:rFonts w:asciiTheme="minorHAnsi" w:eastAsia="MS Mincho" w:hAnsiTheme="minorHAnsi"/>
          <w:iCs/>
          <w:noProof w:val="0"/>
          <w:lang w:val="en-US"/>
        </w:rPr>
        <w:t xml:space="preserve"> </w:t>
      </w:r>
      <w:r w:rsidRPr="0091776A">
        <w:rPr>
          <w:rFonts w:asciiTheme="minorHAnsi" w:eastAsia="MS Mincho" w:hAnsiTheme="minorHAnsi"/>
          <w:iCs/>
          <w:noProof w:val="0"/>
          <w:lang w:val="en-US"/>
        </w:rPr>
        <w:t xml:space="preserve">will be </w:t>
      </w:r>
      <w:r w:rsidR="00327529" w:rsidRPr="0091776A">
        <w:rPr>
          <w:rFonts w:asciiTheme="minorHAnsi" w:eastAsia="MS Mincho" w:hAnsiTheme="minorHAnsi"/>
          <w:iCs/>
          <w:noProof w:val="0"/>
          <w:lang w:val="en-US"/>
        </w:rPr>
        <w:t>organized</w:t>
      </w:r>
      <w:r w:rsidRPr="00DF2951">
        <w:rPr>
          <w:rFonts w:asciiTheme="minorHAnsi" w:eastAsia="MS Mincho" w:hAnsiTheme="minorHAnsi"/>
          <w:iCs/>
          <w:noProof w:val="0"/>
          <w:lang w:val="en-US"/>
        </w:rPr>
        <w:t xml:space="preserve"> during </w:t>
      </w:r>
      <w:r w:rsidR="00A5296D" w:rsidRPr="0091776A">
        <w:rPr>
          <w:rFonts w:asciiTheme="minorHAnsi" w:eastAsia="MS Mincho" w:hAnsiTheme="minorHAnsi"/>
          <w:iCs/>
          <w:noProof w:val="0"/>
          <w:lang w:val="en-US"/>
        </w:rPr>
        <w:t>1</w:t>
      </w:r>
      <w:r w:rsidRPr="0091776A">
        <w:rPr>
          <w:rFonts w:asciiTheme="minorHAnsi" w:eastAsia="MS Mincho" w:hAnsiTheme="minorHAnsi"/>
          <w:iCs/>
          <w:noProof w:val="0"/>
          <w:lang w:val="en-US"/>
        </w:rPr>
        <w:t xml:space="preserve"> year</w:t>
      </w:r>
      <w:r w:rsidR="002D1538" w:rsidRPr="0091776A">
        <w:rPr>
          <w:rFonts w:asciiTheme="minorHAnsi" w:eastAsia="MS Mincho" w:hAnsiTheme="minorHAnsi"/>
          <w:iCs/>
          <w:noProof w:val="0"/>
          <w:lang w:val="en-US"/>
        </w:rPr>
        <w:t xml:space="preserve"> </w:t>
      </w:r>
      <w:r w:rsidR="002D1538" w:rsidRPr="003918A0">
        <w:rPr>
          <w:rFonts w:asciiTheme="minorHAnsi" w:eastAsia="MS Mincho" w:hAnsiTheme="minorHAnsi"/>
          <w:iCs/>
          <w:noProof w:val="0"/>
          <w:lang w:val="en-US"/>
        </w:rPr>
        <w:t>(first part will be organized until December 2016 and the second part will continue until 2017)</w:t>
      </w:r>
      <w:r w:rsidRPr="0091776A">
        <w:rPr>
          <w:rFonts w:asciiTheme="minorHAnsi" w:eastAsia="MS Mincho" w:hAnsiTheme="minorHAnsi"/>
          <w:iCs/>
          <w:noProof w:val="0"/>
          <w:lang w:val="en-US"/>
        </w:rPr>
        <w:t>, the target</w:t>
      </w:r>
      <w:r w:rsidRPr="00A35011">
        <w:rPr>
          <w:rFonts w:asciiTheme="minorHAnsi" w:eastAsia="MS Mincho" w:hAnsiTheme="minorHAnsi"/>
          <w:iCs/>
          <w:noProof w:val="0"/>
          <w:lang w:val="en-US"/>
        </w:rPr>
        <w:t xml:space="preserve"> groups of dissemina</w:t>
      </w:r>
      <w:r w:rsidR="00B463F3">
        <w:rPr>
          <w:rFonts w:asciiTheme="minorHAnsi" w:eastAsia="MS Mincho" w:hAnsiTheme="minorHAnsi"/>
          <w:iCs/>
          <w:noProof w:val="0"/>
          <w:lang w:val="en-US"/>
        </w:rPr>
        <w:t>t</w:t>
      </w:r>
      <w:r w:rsidRPr="00A35011">
        <w:rPr>
          <w:rFonts w:asciiTheme="minorHAnsi" w:eastAsia="MS Mincho" w:hAnsiTheme="minorHAnsi"/>
          <w:iCs/>
          <w:noProof w:val="0"/>
          <w:lang w:val="en-US"/>
        </w:rPr>
        <w:t>ion activi</w:t>
      </w:r>
      <w:r w:rsidR="00B463F3">
        <w:rPr>
          <w:rFonts w:asciiTheme="minorHAnsi" w:eastAsia="MS Mincho" w:hAnsiTheme="minorHAnsi"/>
          <w:iCs/>
          <w:noProof w:val="0"/>
          <w:lang w:val="en-US"/>
        </w:rPr>
        <w:t>ti</w:t>
      </w:r>
      <w:r w:rsidRPr="00A35011">
        <w:rPr>
          <w:rFonts w:asciiTheme="minorHAnsi" w:eastAsia="MS Mincho" w:hAnsiTheme="minorHAnsi"/>
          <w:iCs/>
          <w:noProof w:val="0"/>
          <w:lang w:val="en-US"/>
        </w:rPr>
        <w:t xml:space="preserve">es </w:t>
      </w:r>
      <w:r w:rsidR="00B463F3">
        <w:rPr>
          <w:rFonts w:asciiTheme="minorHAnsi" w:eastAsia="MS Mincho" w:hAnsiTheme="minorHAnsi"/>
          <w:iCs/>
          <w:noProof w:val="0"/>
          <w:lang w:val="en-US"/>
        </w:rPr>
        <w:t>consisting of</w:t>
      </w:r>
      <w:r w:rsidRPr="00A35011">
        <w:rPr>
          <w:rFonts w:asciiTheme="minorHAnsi" w:eastAsia="MS Mincho" w:hAnsiTheme="minorHAnsi"/>
          <w:iCs/>
          <w:noProof w:val="0"/>
          <w:lang w:val="en-US"/>
        </w:rPr>
        <w:t xml:space="preserve"> </w:t>
      </w:r>
      <w:r w:rsidR="00CB0997" w:rsidRPr="00A35011">
        <w:rPr>
          <w:rFonts w:asciiTheme="minorHAnsi" w:eastAsia="MS Mincho" w:hAnsiTheme="minorHAnsi"/>
          <w:iCs/>
          <w:noProof w:val="0"/>
          <w:lang w:val="en-US"/>
        </w:rPr>
        <w:t xml:space="preserve">both </w:t>
      </w:r>
      <w:r w:rsidR="00327529" w:rsidRPr="00A35011">
        <w:rPr>
          <w:rFonts w:asciiTheme="minorHAnsi" w:eastAsia="MS Mincho" w:hAnsiTheme="minorHAnsi"/>
          <w:iCs/>
          <w:noProof w:val="0"/>
          <w:lang w:val="en-US"/>
        </w:rPr>
        <w:t>specialized</w:t>
      </w:r>
      <w:r w:rsidR="00CB0997" w:rsidRPr="00A35011">
        <w:rPr>
          <w:rFonts w:asciiTheme="minorHAnsi" w:eastAsia="MS Mincho" w:hAnsiTheme="minorHAnsi"/>
          <w:iCs/>
          <w:noProof w:val="0"/>
          <w:lang w:val="en-US"/>
        </w:rPr>
        <w:t xml:space="preserve"> stakeholders a</w:t>
      </w:r>
      <w:r w:rsidR="007976CD" w:rsidRPr="00A35011">
        <w:rPr>
          <w:rFonts w:asciiTheme="minorHAnsi" w:eastAsia="MS Mincho" w:hAnsiTheme="minorHAnsi"/>
          <w:iCs/>
          <w:noProof w:val="0"/>
          <w:lang w:val="en-US"/>
        </w:rPr>
        <w:t>s</w:t>
      </w:r>
      <w:r w:rsidR="00CB0997" w:rsidRPr="00A35011">
        <w:rPr>
          <w:rFonts w:asciiTheme="minorHAnsi" w:eastAsia="MS Mincho" w:hAnsiTheme="minorHAnsi"/>
          <w:iCs/>
          <w:noProof w:val="0"/>
          <w:lang w:val="en-US"/>
        </w:rPr>
        <w:t xml:space="preserve"> well as potential project promoters in any field covered by </w:t>
      </w:r>
      <w:r w:rsidR="00B463F3">
        <w:rPr>
          <w:rFonts w:asciiTheme="minorHAnsi" w:eastAsia="MS Mincho" w:hAnsiTheme="minorHAnsi"/>
          <w:iCs/>
          <w:noProof w:val="0"/>
          <w:lang w:val="en-US"/>
        </w:rPr>
        <w:t xml:space="preserve">GD No 445/2009 (taking into account that </w:t>
      </w:r>
      <w:r w:rsidR="00BB0290" w:rsidRPr="00A35011">
        <w:rPr>
          <w:rFonts w:asciiTheme="minorHAnsi" w:eastAsia="MS Mincho" w:hAnsiTheme="minorHAnsi"/>
          <w:iCs/>
          <w:noProof w:val="0"/>
          <w:lang w:val="en-US"/>
        </w:rPr>
        <w:t>one of the guides to be drafted is the gen</w:t>
      </w:r>
      <w:r w:rsidR="007976CD" w:rsidRPr="00A35011">
        <w:rPr>
          <w:rFonts w:asciiTheme="minorHAnsi" w:eastAsia="MS Mincho" w:hAnsiTheme="minorHAnsi"/>
          <w:iCs/>
          <w:noProof w:val="0"/>
          <w:lang w:val="en-US"/>
        </w:rPr>
        <w:t>e</w:t>
      </w:r>
      <w:r w:rsidR="00BB0290" w:rsidRPr="00A35011">
        <w:rPr>
          <w:rFonts w:asciiTheme="minorHAnsi" w:eastAsia="MS Mincho" w:hAnsiTheme="minorHAnsi"/>
          <w:iCs/>
          <w:noProof w:val="0"/>
          <w:lang w:val="en-US"/>
        </w:rPr>
        <w:t>ral guide</w:t>
      </w:r>
      <w:r w:rsidR="00B463F3">
        <w:rPr>
          <w:rFonts w:asciiTheme="minorHAnsi" w:eastAsia="MS Mincho" w:hAnsiTheme="minorHAnsi"/>
          <w:iCs/>
          <w:noProof w:val="0"/>
          <w:lang w:val="en-US"/>
        </w:rPr>
        <w:t>)</w:t>
      </w:r>
      <w:r w:rsidR="00BB0290" w:rsidRPr="00A35011">
        <w:rPr>
          <w:rFonts w:asciiTheme="minorHAnsi" w:eastAsia="MS Mincho" w:hAnsiTheme="minorHAnsi"/>
          <w:iCs/>
          <w:noProof w:val="0"/>
          <w:lang w:val="en-US"/>
        </w:rPr>
        <w:t xml:space="preserve">. </w:t>
      </w:r>
      <w:r w:rsidR="00A35011">
        <w:rPr>
          <w:rFonts w:asciiTheme="minorHAnsi" w:eastAsia="MS Mincho" w:hAnsiTheme="minorHAnsi"/>
          <w:iCs/>
          <w:noProof w:val="0"/>
          <w:lang w:val="en-US"/>
        </w:rPr>
        <w:t>A</w:t>
      </w:r>
      <w:r w:rsidR="007976CD" w:rsidRPr="00A35011">
        <w:rPr>
          <w:rFonts w:asciiTheme="minorHAnsi" w:eastAsia="MS Mincho" w:hAnsiTheme="minorHAnsi"/>
          <w:iCs/>
          <w:noProof w:val="0"/>
          <w:lang w:val="en-US"/>
        </w:rPr>
        <w:t>lso, t</w:t>
      </w:r>
      <w:r w:rsidR="00BB0290" w:rsidRPr="00A35011">
        <w:rPr>
          <w:rFonts w:asciiTheme="minorHAnsi" w:eastAsia="MS Mincho" w:hAnsiTheme="minorHAnsi"/>
          <w:iCs/>
          <w:noProof w:val="0"/>
          <w:lang w:val="en-US"/>
        </w:rPr>
        <w:t xml:space="preserve">he main categories </w:t>
      </w:r>
      <w:r w:rsidR="007976CD" w:rsidRPr="00A35011">
        <w:rPr>
          <w:rFonts w:asciiTheme="minorHAnsi" w:eastAsia="MS Mincho" w:hAnsiTheme="minorHAnsi"/>
          <w:iCs/>
          <w:noProof w:val="0"/>
          <w:lang w:val="en-US"/>
        </w:rPr>
        <w:t xml:space="preserve">will be </w:t>
      </w:r>
      <w:r w:rsidRPr="00A35011">
        <w:rPr>
          <w:rFonts w:asciiTheme="minorHAnsi" w:eastAsia="MS Mincho" w:hAnsiTheme="minorHAnsi"/>
          <w:iCs/>
          <w:noProof w:val="0"/>
          <w:lang w:val="en-US"/>
        </w:rPr>
        <w:t>consultant</w:t>
      </w:r>
      <w:r w:rsidR="00CB0997" w:rsidRPr="00A35011">
        <w:rPr>
          <w:rFonts w:asciiTheme="minorHAnsi" w:eastAsia="MS Mincho" w:hAnsiTheme="minorHAnsi"/>
          <w:iCs/>
          <w:noProof w:val="0"/>
          <w:lang w:val="en-US"/>
        </w:rPr>
        <w:t>s</w:t>
      </w:r>
      <w:r w:rsidRPr="00A35011">
        <w:rPr>
          <w:rFonts w:asciiTheme="minorHAnsi" w:eastAsia="MS Mincho" w:hAnsiTheme="minorHAnsi"/>
          <w:iCs/>
          <w:noProof w:val="0"/>
          <w:lang w:val="en-US"/>
        </w:rPr>
        <w:t xml:space="preserve"> from </w:t>
      </w:r>
      <w:r w:rsidR="00CB0997" w:rsidRPr="00A35011">
        <w:rPr>
          <w:rFonts w:asciiTheme="minorHAnsi" w:eastAsia="MS Mincho" w:hAnsiTheme="minorHAnsi"/>
          <w:iCs/>
          <w:noProof w:val="0"/>
          <w:lang w:val="en-US"/>
        </w:rPr>
        <w:t xml:space="preserve">National Register of </w:t>
      </w:r>
      <w:r w:rsidR="00BB0290" w:rsidRPr="00A35011">
        <w:rPr>
          <w:rFonts w:asciiTheme="minorHAnsi" w:eastAsia="MS Mincho" w:hAnsiTheme="minorHAnsi"/>
          <w:iCs/>
          <w:noProof w:val="0"/>
          <w:lang w:val="en-US"/>
        </w:rPr>
        <w:t>elaborators of</w:t>
      </w:r>
      <w:r w:rsidR="00CB0997" w:rsidRPr="00A35011">
        <w:rPr>
          <w:rFonts w:asciiTheme="minorHAnsi" w:eastAsia="MS Mincho" w:hAnsiTheme="minorHAnsi"/>
          <w:iCs/>
          <w:noProof w:val="0"/>
          <w:lang w:val="en-US"/>
        </w:rPr>
        <w:t xml:space="preserve"> environmental impact studies; potential beneficiaries of EU or national funding, </w:t>
      </w:r>
      <w:r w:rsidR="00B463F3">
        <w:rPr>
          <w:rFonts w:asciiTheme="minorHAnsi" w:eastAsia="MS Mincho" w:hAnsiTheme="minorHAnsi"/>
          <w:iCs/>
          <w:noProof w:val="0"/>
          <w:lang w:val="en-US"/>
        </w:rPr>
        <w:t>for the</w:t>
      </w:r>
      <w:r w:rsidR="00CB0997" w:rsidRPr="00A35011">
        <w:rPr>
          <w:rFonts w:asciiTheme="minorHAnsi" w:eastAsia="MS Mincho" w:hAnsiTheme="minorHAnsi"/>
          <w:iCs/>
          <w:noProof w:val="0"/>
          <w:lang w:val="en-US"/>
        </w:rPr>
        <w:t xml:space="preserve"> </w:t>
      </w:r>
      <w:r w:rsidR="00B463F3" w:rsidRPr="00A35011">
        <w:rPr>
          <w:rFonts w:asciiTheme="minorHAnsi" w:eastAsia="MS Mincho" w:hAnsiTheme="minorHAnsi"/>
          <w:iCs/>
          <w:noProof w:val="0"/>
          <w:lang w:val="en-US"/>
        </w:rPr>
        <w:t xml:space="preserve">relevant </w:t>
      </w:r>
      <w:r w:rsidR="00CB0997" w:rsidRPr="00A35011">
        <w:rPr>
          <w:rFonts w:asciiTheme="minorHAnsi" w:eastAsia="MS Mincho" w:hAnsiTheme="minorHAnsi"/>
          <w:iCs/>
          <w:noProof w:val="0"/>
          <w:lang w:val="en-US"/>
        </w:rPr>
        <w:t xml:space="preserve">fields; local and central authorities active in the </w:t>
      </w:r>
      <w:r w:rsidR="00B463F3" w:rsidRPr="00A35011">
        <w:rPr>
          <w:rFonts w:asciiTheme="minorHAnsi" w:eastAsia="MS Mincho" w:hAnsiTheme="minorHAnsi"/>
          <w:iCs/>
          <w:noProof w:val="0"/>
          <w:lang w:val="en-US"/>
        </w:rPr>
        <w:t xml:space="preserve">relevant </w:t>
      </w:r>
      <w:r w:rsidR="00CB0997" w:rsidRPr="00A35011">
        <w:rPr>
          <w:rFonts w:asciiTheme="minorHAnsi" w:eastAsia="MS Mincho" w:hAnsiTheme="minorHAnsi"/>
          <w:iCs/>
          <w:noProof w:val="0"/>
          <w:lang w:val="en-US"/>
        </w:rPr>
        <w:t xml:space="preserve">fields </w:t>
      </w:r>
      <w:r w:rsidR="00B463F3">
        <w:rPr>
          <w:rFonts w:asciiTheme="minorHAnsi" w:eastAsia="MS Mincho" w:hAnsiTheme="minorHAnsi"/>
          <w:iCs/>
          <w:noProof w:val="0"/>
          <w:lang w:val="en-US"/>
        </w:rPr>
        <w:t>covered by t</w:t>
      </w:r>
      <w:r w:rsidR="00BB0290" w:rsidRPr="00A35011">
        <w:rPr>
          <w:rFonts w:asciiTheme="minorHAnsi" w:eastAsia="MS Mincho" w:hAnsiTheme="minorHAnsi"/>
          <w:iCs/>
          <w:noProof w:val="0"/>
          <w:lang w:val="en-US"/>
        </w:rPr>
        <w:t>he promoted guides.</w:t>
      </w:r>
    </w:p>
    <w:p w:rsidR="005E2947" w:rsidRDefault="005814A0" w:rsidP="00A35011">
      <w:pPr>
        <w:spacing w:before="120" w:after="120"/>
        <w:jc w:val="both"/>
        <w:rPr>
          <w:rFonts w:asciiTheme="minorHAnsi" w:eastAsia="MS Mincho" w:hAnsiTheme="minorHAnsi"/>
          <w:iCs/>
          <w:noProof w:val="0"/>
          <w:lang w:val="en-US"/>
        </w:rPr>
      </w:pPr>
      <w:r w:rsidRPr="00A35011">
        <w:rPr>
          <w:rFonts w:asciiTheme="minorHAnsi" w:eastAsia="MS Mincho" w:hAnsiTheme="minorHAnsi"/>
          <w:iCs/>
          <w:noProof w:val="0"/>
          <w:lang w:val="en-US"/>
        </w:rPr>
        <w:t>T</w:t>
      </w:r>
      <w:r w:rsidR="00334EF6" w:rsidRPr="00A35011">
        <w:rPr>
          <w:rFonts w:asciiTheme="minorHAnsi" w:eastAsia="MS Mincho" w:hAnsiTheme="minorHAnsi"/>
          <w:iCs/>
          <w:noProof w:val="0"/>
          <w:lang w:val="en-US"/>
        </w:rPr>
        <w:t>he number of training sessions for representatives of environmental authorities (MEWF, NEPA, DDBRA, EPAs) and the number of sessions for dissemination of guidelines for project owners and environmental consultants will be determined upon completion and submission of project fiche application form (May/June 2015) for the project will be financed through OPAC.</w:t>
      </w:r>
    </w:p>
    <w:p w:rsidR="002D1538" w:rsidRPr="00633E08" w:rsidRDefault="002D1538" w:rsidP="002D1538">
      <w:pPr>
        <w:spacing w:before="120" w:after="120"/>
        <w:jc w:val="both"/>
        <w:rPr>
          <w:rFonts w:asciiTheme="minorHAnsi" w:eastAsia="MS Mincho" w:hAnsiTheme="minorHAnsi"/>
          <w:iCs/>
          <w:noProof w:val="0"/>
          <w:lang w:val="en-US"/>
        </w:rPr>
      </w:pPr>
      <w:r w:rsidRPr="003918A0">
        <w:rPr>
          <w:rFonts w:asciiTheme="minorHAnsi" w:eastAsia="MS Mincho" w:hAnsiTheme="minorHAnsi"/>
          <w:iCs/>
          <w:noProof w:val="0"/>
          <w:lang w:val="en-US"/>
        </w:rPr>
        <w:t>The second cycle of the Strategy and Plan for training developed for the environmental competent authorities (elaborated by JASPERS), based on the conclusions of the Report carried out for Cycle I, will be organized 2017-2020.</w:t>
      </w:r>
      <w:r>
        <w:rPr>
          <w:rFonts w:asciiTheme="minorHAnsi" w:eastAsia="MS Mincho" w:hAnsiTheme="minorHAnsi"/>
          <w:iCs/>
          <w:noProof w:val="0"/>
          <w:lang w:val="en-US"/>
        </w:rPr>
        <w:t xml:space="preserve"> </w:t>
      </w:r>
    </w:p>
    <w:p w:rsidR="002D1538" w:rsidRPr="00A35011" w:rsidRDefault="002D1538" w:rsidP="00A35011">
      <w:pPr>
        <w:spacing w:before="120" w:after="120"/>
        <w:jc w:val="both"/>
        <w:rPr>
          <w:rFonts w:asciiTheme="minorHAnsi" w:hAnsiTheme="minorHAnsi"/>
          <w:color w:val="000000" w:themeColor="text1"/>
          <w:lang w:val="en-US"/>
        </w:rPr>
      </w:pPr>
    </w:p>
    <w:sectPr w:rsidR="002D1538" w:rsidRPr="00A35011" w:rsidSect="0001075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D0" w:rsidRDefault="004A20D0" w:rsidP="005971CB">
      <w:r>
        <w:separator/>
      </w:r>
    </w:p>
  </w:endnote>
  <w:endnote w:type="continuationSeparator" w:id="0">
    <w:p w:rsidR="004A20D0" w:rsidRDefault="004A20D0" w:rsidP="0059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88100438"/>
      <w:docPartObj>
        <w:docPartGallery w:val="Page Numbers (Bottom of Page)"/>
        <w:docPartUnique/>
      </w:docPartObj>
    </w:sdtPr>
    <w:sdtEndPr>
      <w:rPr>
        <w:noProof/>
      </w:rPr>
    </w:sdtEndPr>
    <w:sdtContent>
      <w:p w:rsidR="0051460C" w:rsidRDefault="0051460C">
        <w:pPr>
          <w:pStyle w:val="Footer"/>
          <w:jc w:val="right"/>
        </w:pPr>
        <w:r>
          <w:rPr>
            <w:noProof w:val="0"/>
          </w:rPr>
          <w:fldChar w:fldCharType="begin"/>
        </w:r>
        <w:r>
          <w:instrText xml:space="preserve"> PAGE   \* MERGEFORMAT </w:instrText>
        </w:r>
        <w:r>
          <w:rPr>
            <w:noProof w:val="0"/>
          </w:rPr>
          <w:fldChar w:fldCharType="separate"/>
        </w:r>
        <w:r w:rsidR="00CE2705">
          <w:t>1</w:t>
        </w:r>
        <w:r>
          <w:fldChar w:fldCharType="end"/>
        </w:r>
      </w:p>
    </w:sdtContent>
  </w:sdt>
  <w:p w:rsidR="0051460C" w:rsidRDefault="0051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D0" w:rsidRDefault="004A20D0" w:rsidP="005971CB">
      <w:r>
        <w:separator/>
      </w:r>
    </w:p>
  </w:footnote>
  <w:footnote w:type="continuationSeparator" w:id="0">
    <w:p w:rsidR="004A20D0" w:rsidRDefault="004A20D0" w:rsidP="005971CB">
      <w:r>
        <w:continuationSeparator/>
      </w:r>
    </w:p>
  </w:footnote>
  <w:footnote w:id="1">
    <w:p w:rsidR="00C125F1" w:rsidRPr="00FC2F8B" w:rsidRDefault="00C125F1" w:rsidP="00FC2F8B">
      <w:pPr>
        <w:pStyle w:val="FootnoteText"/>
        <w:jc w:val="both"/>
        <w:rPr>
          <w:rFonts w:asciiTheme="minorHAnsi" w:hAnsiTheme="minorHAnsi"/>
          <w:lang w:val="ro-RO"/>
        </w:rPr>
      </w:pPr>
      <w:r>
        <w:rPr>
          <w:rStyle w:val="FootnoteReference"/>
        </w:rPr>
        <w:footnoteRef/>
      </w:r>
      <w:r>
        <w:t xml:space="preserve"> </w:t>
      </w:r>
      <w:r w:rsidRPr="00FC2F8B">
        <w:rPr>
          <w:rFonts w:asciiTheme="minorHAnsi" w:hAnsiTheme="minorHAnsi"/>
          <w:lang w:val="ro-RO"/>
        </w:rPr>
        <w:t xml:space="preserve">For example, the JASPERS Guidelines were used for the projects </w:t>
      </w:r>
      <w:r w:rsidRPr="00FC2F8B">
        <w:rPr>
          <w:rFonts w:asciiTheme="minorHAnsi" w:hAnsiTheme="minorHAnsi"/>
        </w:rPr>
        <w:t>SMID Harghita, Lugoj-Deva</w:t>
      </w:r>
      <w:r w:rsidR="00B35BA9" w:rsidRPr="00B35BA9">
        <w:rPr>
          <w:rFonts w:asciiTheme="minorHAnsi" w:hAnsiTheme="minorHAnsi"/>
        </w:rPr>
        <w:t xml:space="preserve"> </w:t>
      </w:r>
      <w:r w:rsidR="00B35BA9" w:rsidRPr="00FC2F8B">
        <w:rPr>
          <w:rFonts w:asciiTheme="minorHAnsi" w:hAnsiTheme="minorHAnsi"/>
        </w:rPr>
        <w:t>motorway</w:t>
      </w:r>
      <w:r w:rsidRPr="00FC2F8B">
        <w:rPr>
          <w:rFonts w:asciiTheme="minorHAnsi" w:hAnsiTheme="minorHAnsi"/>
        </w:rPr>
        <w:t>, Pașcani ring road and Câmpulung Moldovenesc ring road.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53C"/>
    <w:multiLevelType w:val="hybridMultilevel"/>
    <w:tmpl w:val="84F428EC"/>
    <w:lvl w:ilvl="0" w:tplc="96F006DE">
      <w:start w:val="7"/>
      <w:numFmt w:val="bullet"/>
      <w:lvlText w:val="–"/>
      <w:lvlJc w:val="left"/>
      <w:pPr>
        <w:ind w:left="733"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26267F"/>
    <w:multiLevelType w:val="hybridMultilevel"/>
    <w:tmpl w:val="191218F0"/>
    <w:lvl w:ilvl="0" w:tplc="04090003">
      <w:start w:val="1"/>
      <w:numFmt w:val="bullet"/>
      <w:lvlText w:val="o"/>
      <w:lvlJc w:val="left"/>
      <w:pPr>
        <w:ind w:left="380" w:hanging="360"/>
      </w:pPr>
      <w:rPr>
        <w:rFonts w:ascii="Courier New" w:hAnsi="Courier New" w:cs="Courier New" w:hint="default"/>
      </w:rPr>
    </w:lvl>
    <w:lvl w:ilvl="1" w:tplc="04090003">
      <w:start w:val="1"/>
      <w:numFmt w:val="bullet"/>
      <w:lvlText w:val="o"/>
      <w:lvlJc w:val="left"/>
      <w:pPr>
        <w:ind w:left="1100" w:hanging="360"/>
      </w:pPr>
      <w:rPr>
        <w:rFonts w:ascii="Courier New" w:hAnsi="Courier New" w:cs="Courier New" w:hint="default"/>
      </w:rPr>
    </w:lvl>
    <w:lvl w:ilvl="2" w:tplc="96F006DE">
      <w:start w:val="7"/>
      <w:numFmt w:val="bullet"/>
      <w:lvlText w:val="–"/>
      <w:lvlJc w:val="left"/>
      <w:pPr>
        <w:ind w:left="1820" w:hanging="360"/>
      </w:pPr>
      <w:rPr>
        <w:rFonts w:ascii="Times New Roman" w:eastAsia="Times New Roman" w:hAnsi="Times New Roman" w:cs="Times New Roman"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066D3EDC"/>
    <w:multiLevelType w:val="hybridMultilevel"/>
    <w:tmpl w:val="1C729406"/>
    <w:lvl w:ilvl="0" w:tplc="7BCA82C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0F2B20D6"/>
    <w:multiLevelType w:val="hybridMultilevel"/>
    <w:tmpl w:val="3D52BD78"/>
    <w:lvl w:ilvl="0" w:tplc="5C6C35B8">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7EA7"/>
    <w:multiLevelType w:val="hybridMultilevel"/>
    <w:tmpl w:val="02282A6E"/>
    <w:lvl w:ilvl="0" w:tplc="0418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9B030B7"/>
    <w:multiLevelType w:val="hybridMultilevel"/>
    <w:tmpl w:val="186E9890"/>
    <w:lvl w:ilvl="0" w:tplc="08EED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39D"/>
    <w:multiLevelType w:val="hybridMultilevel"/>
    <w:tmpl w:val="03983752"/>
    <w:lvl w:ilvl="0" w:tplc="96F006DE">
      <w:start w:val="7"/>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E032211"/>
    <w:multiLevelType w:val="hybridMultilevel"/>
    <w:tmpl w:val="ED764B8C"/>
    <w:lvl w:ilvl="0" w:tplc="B3DEBF06">
      <w:numFmt w:val="bullet"/>
      <w:lvlText w:val="-"/>
      <w:lvlJc w:val="left"/>
      <w:pPr>
        <w:ind w:left="740" w:hanging="360"/>
      </w:pPr>
      <w:rPr>
        <w:rFonts w:ascii="Calibri" w:eastAsia="Times New Roman" w:hAnsi="Calibri"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nsid w:val="31111662"/>
    <w:multiLevelType w:val="hybridMultilevel"/>
    <w:tmpl w:val="02D29F58"/>
    <w:lvl w:ilvl="0" w:tplc="63B8F13A">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06546"/>
    <w:multiLevelType w:val="hybridMultilevel"/>
    <w:tmpl w:val="9320AAA2"/>
    <w:lvl w:ilvl="0" w:tplc="A29821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E3874"/>
    <w:multiLevelType w:val="hybridMultilevel"/>
    <w:tmpl w:val="1402D3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274376"/>
    <w:multiLevelType w:val="hybridMultilevel"/>
    <w:tmpl w:val="A2CA9560"/>
    <w:lvl w:ilvl="0" w:tplc="B3DEBF06">
      <w:numFmt w:val="bullet"/>
      <w:lvlText w:val="-"/>
      <w:lvlJc w:val="left"/>
      <w:pPr>
        <w:ind w:left="740" w:hanging="360"/>
      </w:pPr>
      <w:rPr>
        <w:rFonts w:ascii="Calibri" w:eastAsia="Times New Roman" w:hAnsi="Calibri" w:cs="Times New Roman"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51C24CA2"/>
    <w:multiLevelType w:val="hybridMultilevel"/>
    <w:tmpl w:val="EB06C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907228"/>
    <w:multiLevelType w:val="hybridMultilevel"/>
    <w:tmpl w:val="4078D03E"/>
    <w:lvl w:ilvl="0" w:tplc="F5F8EDCC">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C46BB"/>
    <w:multiLevelType w:val="hybridMultilevel"/>
    <w:tmpl w:val="0B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E0C82"/>
    <w:multiLevelType w:val="hybridMultilevel"/>
    <w:tmpl w:val="B60EB962"/>
    <w:lvl w:ilvl="0" w:tplc="04090003">
      <w:start w:val="1"/>
      <w:numFmt w:val="bullet"/>
      <w:lvlText w:val="o"/>
      <w:lvlJc w:val="left"/>
      <w:pPr>
        <w:ind w:left="380" w:hanging="360"/>
      </w:pPr>
      <w:rPr>
        <w:rFonts w:ascii="Courier New" w:hAnsi="Courier New" w:cs="Courier New"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6">
    <w:nsid w:val="5B9829E4"/>
    <w:multiLevelType w:val="hybridMultilevel"/>
    <w:tmpl w:val="69402476"/>
    <w:lvl w:ilvl="0" w:tplc="B3DEBF06">
      <w:numFmt w:val="bullet"/>
      <w:lvlText w:val="-"/>
      <w:lvlJc w:val="left"/>
      <w:pPr>
        <w:ind w:left="740" w:hanging="360"/>
      </w:pPr>
      <w:rPr>
        <w:rFonts w:ascii="Calibri" w:eastAsia="Times New Roman" w:hAnsi="Calibri"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nsid w:val="61CB6230"/>
    <w:multiLevelType w:val="hybridMultilevel"/>
    <w:tmpl w:val="0B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642D1"/>
    <w:multiLevelType w:val="hybridMultilevel"/>
    <w:tmpl w:val="68E82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07C163F"/>
    <w:multiLevelType w:val="hybridMultilevel"/>
    <w:tmpl w:val="111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B0E93"/>
    <w:multiLevelType w:val="hybridMultilevel"/>
    <w:tmpl w:val="7C96F982"/>
    <w:lvl w:ilvl="0" w:tplc="A298214C">
      <w:start w:val="1"/>
      <w:numFmt w:val="bullet"/>
      <w:lvlText w:val="-"/>
      <w:lvlJc w:val="left"/>
      <w:pPr>
        <w:ind w:left="38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56B4E70"/>
    <w:multiLevelType w:val="hybridMultilevel"/>
    <w:tmpl w:val="C4F81264"/>
    <w:lvl w:ilvl="0" w:tplc="A298214C">
      <w:start w:val="1"/>
      <w:numFmt w:val="bullet"/>
      <w:lvlText w:val="-"/>
      <w:lvlJc w:val="left"/>
      <w:pPr>
        <w:ind w:left="1440" w:hanging="360"/>
      </w:pPr>
      <w:rPr>
        <w:rFonts w:ascii="Courier New" w:hAnsi="Courier New" w:hint="default"/>
      </w:rPr>
    </w:lvl>
    <w:lvl w:ilvl="1" w:tplc="A298214C">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CC642A"/>
    <w:multiLevelType w:val="hybridMultilevel"/>
    <w:tmpl w:val="0B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E3DE8"/>
    <w:multiLevelType w:val="hybridMultilevel"/>
    <w:tmpl w:val="5EE03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EC66C5"/>
    <w:multiLevelType w:val="hybridMultilevel"/>
    <w:tmpl w:val="99C0CB4C"/>
    <w:lvl w:ilvl="0" w:tplc="BA862B64">
      <w:start w:val="1"/>
      <w:numFmt w:val="decimal"/>
      <w:lvlText w:val="%1."/>
      <w:lvlJc w:val="left"/>
      <w:pPr>
        <w:ind w:left="535" w:hanging="360"/>
      </w:pPr>
      <w:rPr>
        <w:rFonts w:hint="default"/>
      </w:rPr>
    </w:lvl>
    <w:lvl w:ilvl="1" w:tplc="04180019">
      <w:start w:val="1"/>
      <w:numFmt w:val="lowerLetter"/>
      <w:lvlText w:val="%2."/>
      <w:lvlJc w:val="left"/>
      <w:pPr>
        <w:ind w:left="1255" w:hanging="360"/>
      </w:pPr>
    </w:lvl>
    <w:lvl w:ilvl="2" w:tplc="0418001B" w:tentative="1">
      <w:start w:val="1"/>
      <w:numFmt w:val="lowerRoman"/>
      <w:lvlText w:val="%3."/>
      <w:lvlJc w:val="right"/>
      <w:pPr>
        <w:ind w:left="1975" w:hanging="180"/>
      </w:pPr>
    </w:lvl>
    <w:lvl w:ilvl="3" w:tplc="0418000F" w:tentative="1">
      <w:start w:val="1"/>
      <w:numFmt w:val="decimal"/>
      <w:lvlText w:val="%4."/>
      <w:lvlJc w:val="left"/>
      <w:pPr>
        <w:ind w:left="2695" w:hanging="360"/>
      </w:pPr>
    </w:lvl>
    <w:lvl w:ilvl="4" w:tplc="04180019" w:tentative="1">
      <w:start w:val="1"/>
      <w:numFmt w:val="lowerLetter"/>
      <w:lvlText w:val="%5."/>
      <w:lvlJc w:val="left"/>
      <w:pPr>
        <w:ind w:left="3415" w:hanging="360"/>
      </w:pPr>
    </w:lvl>
    <w:lvl w:ilvl="5" w:tplc="0418001B" w:tentative="1">
      <w:start w:val="1"/>
      <w:numFmt w:val="lowerRoman"/>
      <w:lvlText w:val="%6."/>
      <w:lvlJc w:val="right"/>
      <w:pPr>
        <w:ind w:left="4135" w:hanging="180"/>
      </w:pPr>
    </w:lvl>
    <w:lvl w:ilvl="6" w:tplc="0418000F" w:tentative="1">
      <w:start w:val="1"/>
      <w:numFmt w:val="decimal"/>
      <w:lvlText w:val="%7."/>
      <w:lvlJc w:val="left"/>
      <w:pPr>
        <w:ind w:left="4855" w:hanging="360"/>
      </w:pPr>
    </w:lvl>
    <w:lvl w:ilvl="7" w:tplc="04180019" w:tentative="1">
      <w:start w:val="1"/>
      <w:numFmt w:val="lowerLetter"/>
      <w:lvlText w:val="%8."/>
      <w:lvlJc w:val="left"/>
      <w:pPr>
        <w:ind w:left="5575" w:hanging="360"/>
      </w:pPr>
    </w:lvl>
    <w:lvl w:ilvl="8" w:tplc="0418001B" w:tentative="1">
      <w:start w:val="1"/>
      <w:numFmt w:val="lowerRoman"/>
      <w:lvlText w:val="%9."/>
      <w:lvlJc w:val="right"/>
      <w:pPr>
        <w:ind w:left="6295" w:hanging="180"/>
      </w:pPr>
    </w:lvl>
  </w:abstractNum>
  <w:abstractNum w:abstractNumId="25">
    <w:nsid w:val="7FB767F6"/>
    <w:multiLevelType w:val="hybridMultilevel"/>
    <w:tmpl w:val="3A1819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8"/>
  </w:num>
  <w:num w:numId="3">
    <w:abstractNumId w:val="25"/>
  </w:num>
  <w:num w:numId="4">
    <w:abstractNumId w:val="12"/>
  </w:num>
  <w:num w:numId="5">
    <w:abstractNumId w:val="15"/>
  </w:num>
  <w:num w:numId="6">
    <w:abstractNumId w:val="11"/>
  </w:num>
  <w:num w:numId="7">
    <w:abstractNumId w:val="7"/>
  </w:num>
  <w:num w:numId="8">
    <w:abstractNumId w:val="16"/>
  </w:num>
  <w:num w:numId="9">
    <w:abstractNumId w:val="20"/>
  </w:num>
  <w:num w:numId="10">
    <w:abstractNumId w:val="4"/>
  </w:num>
  <w:num w:numId="11">
    <w:abstractNumId w:val="24"/>
  </w:num>
  <w:num w:numId="12">
    <w:abstractNumId w:val="1"/>
  </w:num>
  <w:num w:numId="13">
    <w:abstractNumId w:val="2"/>
  </w:num>
  <w:num w:numId="14">
    <w:abstractNumId w:val="6"/>
  </w:num>
  <w:num w:numId="15">
    <w:abstractNumId w:val="5"/>
  </w:num>
  <w:num w:numId="16">
    <w:abstractNumId w:val="19"/>
  </w:num>
  <w:num w:numId="17">
    <w:abstractNumId w:val="14"/>
  </w:num>
  <w:num w:numId="18">
    <w:abstractNumId w:val="13"/>
  </w:num>
  <w:num w:numId="19">
    <w:abstractNumId w:val="3"/>
  </w:num>
  <w:num w:numId="20">
    <w:abstractNumId w:val="10"/>
  </w:num>
  <w:num w:numId="21">
    <w:abstractNumId w:val="8"/>
  </w:num>
  <w:num w:numId="22">
    <w:abstractNumId w:val="23"/>
  </w:num>
  <w:num w:numId="23">
    <w:abstractNumId w:val="21"/>
  </w:num>
  <w:num w:numId="24">
    <w:abstractNumId w:val="9"/>
  </w:num>
  <w:num w:numId="25">
    <w:abstractNumId w:val="22"/>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a Petrisor">
    <w15:presenceInfo w15:providerId="AD" w15:userId="S-1-5-21-2917426104-394408006-108971551-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AB"/>
    <w:rsid w:val="00000DD5"/>
    <w:rsid w:val="00003A68"/>
    <w:rsid w:val="000047DD"/>
    <w:rsid w:val="00010757"/>
    <w:rsid w:val="0003452E"/>
    <w:rsid w:val="000431E2"/>
    <w:rsid w:val="00043AF7"/>
    <w:rsid w:val="0005151E"/>
    <w:rsid w:val="00062A36"/>
    <w:rsid w:val="0009678F"/>
    <w:rsid w:val="000A77BD"/>
    <w:rsid w:val="000C063A"/>
    <w:rsid w:val="000D4573"/>
    <w:rsid w:val="000D5637"/>
    <w:rsid w:val="000D5E8A"/>
    <w:rsid w:val="000E375F"/>
    <w:rsid w:val="000F4961"/>
    <w:rsid w:val="00122CF7"/>
    <w:rsid w:val="0013002D"/>
    <w:rsid w:val="00151CE2"/>
    <w:rsid w:val="00176E25"/>
    <w:rsid w:val="00190D90"/>
    <w:rsid w:val="001A0269"/>
    <w:rsid w:val="001C3958"/>
    <w:rsid w:val="001C7458"/>
    <w:rsid w:val="001D4025"/>
    <w:rsid w:val="001E75F5"/>
    <w:rsid w:val="001F52EB"/>
    <w:rsid w:val="00224FE1"/>
    <w:rsid w:val="002630C1"/>
    <w:rsid w:val="00264201"/>
    <w:rsid w:val="00272D13"/>
    <w:rsid w:val="002D1538"/>
    <w:rsid w:val="002E7384"/>
    <w:rsid w:val="00301E3E"/>
    <w:rsid w:val="00327529"/>
    <w:rsid w:val="00334EF6"/>
    <w:rsid w:val="00345E1A"/>
    <w:rsid w:val="00347DC9"/>
    <w:rsid w:val="003760B7"/>
    <w:rsid w:val="00382DC4"/>
    <w:rsid w:val="003918A0"/>
    <w:rsid w:val="00393E4A"/>
    <w:rsid w:val="003A5C23"/>
    <w:rsid w:val="003A704E"/>
    <w:rsid w:val="003A747A"/>
    <w:rsid w:val="003C60D4"/>
    <w:rsid w:val="003D00BF"/>
    <w:rsid w:val="003D0B51"/>
    <w:rsid w:val="003D5FE6"/>
    <w:rsid w:val="003E3EB3"/>
    <w:rsid w:val="003E4030"/>
    <w:rsid w:val="003E79C4"/>
    <w:rsid w:val="003F2C5B"/>
    <w:rsid w:val="004050AB"/>
    <w:rsid w:val="004503DE"/>
    <w:rsid w:val="004724AA"/>
    <w:rsid w:val="00480AF3"/>
    <w:rsid w:val="004922B4"/>
    <w:rsid w:val="00495DF5"/>
    <w:rsid w:val="004A20D0"/>
    <w:rsid w:val="004A7A93"/>
    <w:rsid w:val="004E04EB"/>
    <w:rsid w:val="004F4E6D"/>
    <w:rsid w:val="0050009E"/>
    <w:rsid w:val="005050DE"/>
    <w:rsid w:val="005058F7"/>
    <w:rsid w:val="0051460C"/>
    <w:rsid w:val="00535D0E"/>
    <w:rsid w:val="00542329"/>
    <w:rsid w:val="00546FC4"/>
    <w:rsid w:val="00553567"/>
    <w:rsid w:val="00555616"/>
    <w:rsid w:val="00564339"/>
    <w:rsid w:val="00576ADC"/>
    <w:rsid w:val="005814A0"/>
    <w:rsid w:val="00586B77"/>
    <w:rsid w:val="00587DE2"/>
    <w:rsid w:val="005971CB"/>
    <w:rsid w:val="0059736E"/>
    <w:rsid w:val="00597974"/>
    <w:rsid w:val="005A6F45"/>
    <w:rsid w:val="005B7364"/>
    <w:rsid w:val="005E2947"/>
    <w:rsid w:val="00600BF2"/>
    <w:rsid w:val="00655957"/>
    <w:rsid w:val="00667BAF"/>
    <w:rsid w:val="00674534"/>
    <w:rsid w:val="0068306F"/>
    <w:rsid w:val="006853C9"/>
    <w:rsid w:val="00693C3E"/>
    <w:rsid w:val="00696750"/>
    <w:rsid w:val="006A6265"/>
    <w:rsid w:val="006B7500"/>
    <w:rsid w:val="006C4C9C"/>
    <w:rsid w:val="006C58B0"/>
    <w:rsid w:val="006D0737"/>
    <w:rsid w:val="006D5CF2"/>
    <w:rsid w:val="006E520F"/>
    <w:rsid w:val="006F6937"/>
    <w:rsid w:val="00702BFE"/>
    <w:rsid w:val="00703516"/>
    <w:rsid w:val="007066A8"/>
    <w:rsid w:val="0072363C"/>
    <w:rsid w:val="00736605"/>
    <w:rsid w:val="00776512"/>
    <w:rsid w:val="007776A7"/>
    <w:rsid w:val="00781FB4"/>
    <w:rsid w:val="007854E1"/>
    <w:rsid w:val="007976CD"/>
    <w:rsid w:val="007A33E6"/>
    <w:rsid w:val="0082625A"/>
    <w:rsid w:val="00843AEB"/>
    <w:rsid w:val="00844E58"/>
    <w:rsid w:val="008666E6"/>
    <w:rsid w:val="00872B2F"/>
    <w:rsid w:val="008832F8"/>
    <w:rsid w:val="008A29D4"/>
    <w:rsid w:val="008A2E3D"/>
    <w:rsid w:val="008B4548"/>
    <w:rsid w:val="008E35B6"/>
    <w:rsid w:val="008E5E55"/>
    <w:rsid w:val="008E6FEC"/>
    <w:rsid w:val="0091776A"/>
    <w:rsid w:val="00927984"/>
    <w:rsid w:val="00927CC9"/>
    <w:rsid w:val="009336D9"/>
    <w:rsid w:val="00937348"/>
    <w:rsid w:val="00937A28"/>
    <w:rsid w:val="009467A0"/>
    <w:rsid w:val="00950AC1"/>
    <w:rsid w:val="009538D1"/>
    <w:rsid w:val="00954439"/>
    <w:rsid w:val="009556B7"/>
    <w:rsid w:val="00977580"/>
    <w:rsid w:val="009857D9"/>
    <w:rsid w:val="0099560D"/>
    <w:rsid w:val="009F3EC0"/>
    <w:rsid w:val="009F6BCC"/>
    <w:rsid w:val="00A06650"/>
    <w:rsid w:val="00A33756"/>
    <w:rsid w:val="00A35011"/>
    <w:rsid w:val="00A40F26"/>
    <w:rsid w:val="00A4755C"/>
    <w:rsid w:val="00A5296D"/>
    <w:rsid w:val="00A56A1B"/>
    <w:rsid w:val="00A662DA"/>
    <w:rsid w:val="00A83D54"/>
    <w:rsid w:val="00A86468"/>
    <w:rsid w:val="00AA553F"/>
    <w:rsid w:val="00AD6527"/>
    <w:rsid w:val="00AF2B1C"/>
    <w:rsid w:val="00AF3E0F"/>
    <w:rsid w:val="00AF7E7D"/>
    <w:rsid w:val="00B03578"/>
    <w:rsid w:val="00B35BA9"/>
    <w:rsid w:val="00B463F3"/>
    <w:rsid w:val="00B5408E"/>
    <w:rsid w:val="00B923FA"/>
    <w:rsid w:val="00BA2214"/>
    <w:rsid w:val="00BB0290"/>
    <w:rsid w:val="00BD2B32"/>
    <w:rsid w:val="00BD3EDB"/>
    <w:rsid w:val="00C125F1"/>
    <w:rsid w:val="00C319FA"/>
    <w:rsid w:val="00C32F70"/>
    <w:rsid w:val="00C33358"/>
    <w:rsid w:val="00C515A7"/>
    <w:rsid w:val="00C53D66"/>
    <w:rsid w:val="00C73120"/>
    <w:rsid w:val="00C733A1"/>
    <w:rsid w:val="00C80E91"/>
    <w:rsid w:val="00C8598A"/>
    <w:rsid w:val="00C9738B"/>
    <w:rsid w:val="00CA60AE"/>
    <w:rsid w:val="00CB0997"/>
    <w:rsid w:val="00CC3197"/>
    <w:rsid w:val="00CE2705"/>
    <w:rsid w:val="00CE4172"/>
    <w:rsid w:val="00CE5A1E"/>
    <w:rsid w:val="00CF0C8F"/>
    <w:rsid w:val="00D46693"/>
    <w:rsid w:val="00D47066"/>
    <w:rsid w:val="00D805B8"/>
    <w:rsid w:val="00D87B13"/>
    <w:rsid w:val="00DA1891"/>
    <w:rsid w:val="00DA1961"/>
    <w:rsid w:val="00DD01F8"/>
    <w:rsid w:val="00DD3914"/>
    <w:rsid w:val="00DF2951"/>
    <w:rsid w:val="00DF43D0"/>
    <w:rsid w:val="00DF79DA"/>
    <w:rsid w:val="00E0231C"/>
    <w:rsid w:val="00E028EB"/>
    <w:rsid w:val="00E07928"/>
    <w:rsid w:val="00E13DC3"/>
    <w:rsid w:val="00E275DB"/>
    <w:rsid w:val="00E31966"/>
    <w:rsid w:val="00E430C5"/>
    <w:rsid w:val="00E679FF"/>
    <w:rsid w:val="00E755AF"/>
    <w:rsid w:val="00E977B4"/>
    <w:rsid w:val="00EB2BEE"/>
    <w:rsid w:val="00EC590B"/>
    <w:rsid w:val="00ED172F"/>
    <w:rsid w:val="00ED2DF8"/>
    <w:rsid w:val="00EF7C09"/>
    <w:rsid w:val="00F13725"/>
    <w:rsid w:val="00F15BBB"/>
    <w:rsid w:val="00F26BE8"/>
    <w:rsid w:val="00F30BC0"/>
    <w:rsid w:val="00F45B0E"/>
    <w:rsid w:val="00F5346A"/>
    <w:rsid w:val="00F94808"/>
    <w:rsid w:val="00FA3029"/>
    <w:rsid w:val="00FA6FDB"/>
    <w:rsid w:val="00FC2F8B"/>
    <w:rsid w:val="00FD0790"/>
    <w:rsid w:val="00FD147F"/>
    <w:rsid w:val="00FD5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AF"/>
    <w:pPr>
      <w:spacing w:after="0" w:line="240" w:lineRule="auto"/>
    </w:pPr>
    <w:rPr>
      <w:rFonts w:ascii="Times New Roman" w:eastAsia="Times New Roman" w:hAnsi="Times New Roman" w:cs="Times New Roman"/>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
    <w:basedOn w:val="Normal"/>
    <w:link w:val="ListParagraphChar"/>
    <w:uiPriority w:val="34"/>
    <w:qFormat/>
    <w:rsid w:val="00E755AF"/>
    <w:pPr>
      <w:ind w:left="720"/>
      <w:contextualSpacing/>
    </w:pPr>
  </w:style>
  <w:style w:type="character" w:styleId="Hyperlink">
    <w:name w:val="Hyperlink"/>
    <w:uiPriority w:val="99"/>
    <w:unhideWhenUsed/>
    <w:rsid w:val="00122CF7"/>
    <w:rPr>
      <w:color w:val="0000FF"/>
      <w:u w:val="single"/>
    </w:rPr>
  </w:style>
  <w:style w:type="character" w:customStyle="1" w:styleId="ListParagraphChar">
    <w:name w:val="List Paragraph Char"/>
    <w:aliases w:val="Normal bullet 2 Char,body 2 Char,List Paragraph1 Char"/>
    <w:link w:val="ListParagraph"/>
    <w:uiPriority w:val="34"/>
    <w:locked/>
    <w:rsid w:val="00122CF7"/>
    <w:rPr>
      <w:rFonts w:ascii="Times New Roman" w:eastAsia="Times New Roman" w:hAnsi="Times New Roman" w:cs="Times New Roman"/>
      <w:noProof/>
      <w:sz w:val="24"/>
      <w:szCs w:val="24"/>
      <w:lang w:val="en-GB"/>
    </w:rPr>
  </w:style>
  <w:style w:type="character" w:customStyle="1" w:styleId="hps">
    <w:name w:val="hps"/>
    <w:rsid w:val="00937A28"/>
  </w:style>
  <w:style w:type="character" w:customStyle="1" w:styleId="tpa1">
    <w:name w:val="tpa1"/>
    <w:basedOn w:val="DefaultParagraphFont"/>
    <w:rsid w:val="00937A28"/>
  </w:style>
  <w:style w:type="character" w:customStyle="1" w:styleId="tli1">
    <w:name w:val="tli1"/>
    <w:rsid w:val="00937A28"/>
  </w:style>
  <w:style w:type="character" w:customStyle="1" w:styleId="tal1">
    <w:name w:val="tal1"/>
    <w:rsid w:val="00937A28"/>
  </w:style>
  <w:style w:type="paragraph" w:customStyle="1" w:styleId="Default">
    <w:name w:val="Default"/>
    <w:rsid w:val="00A066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E679FF"/>
    <w:pPr>
      <w:spacing w:before="100" w:beforeAutospacing="1" w:after="100" w:afterAutospacing="1"/>
    </w:pPr>
    <w:rPr>
      <w:noProof w:val="0"/>
      <w:lang w:val="en-US"/>
    </w:rPr>
  </w:style>
  <w:style w:type="character" w:customStyle="1" w:styleId="PlainTextChar">
    <w:name w:val="Plain Text Char"/>
    <w:basedOn w:val="DefaultParagraphFont"/>
    <w:link w:val="PlainText"/>
    <w:uiPriority w:val="99"/>
    <w:semiHidden/>
    <w:rsid w:val="00E679FF"/>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679FF"/>
  </w:style>
  <w:style w:type="paragraph" w:styleId="EndnoteText">
    <w:name w:val="endnote text"/>
    <w:basedOn w:val="Normal"/>
    <w:link w:val="EndnoteTextChar"/>
    <w:uiPriority w:val="99"/>
    <w:semiHidden/>
    <w:unhideWhenUsed/>
    <w:rsid w:val="005971CB"/>
    <w:rPr>
      <w:sz w:val="20"/>
      <w:szCs w:val="20"/>
    </w:rPr>
  </w:style>
  <w:style w:type="character" w:customStyle="1" w:styleId="EndnoteTextChar">
    <w:name w:val="Endnote Text Char"/>
    <w:basedOn w:val="DefaultParagraphFont"/>
    <w:link w:val="EndnoteText"/>
    <w:uiPriority w:val="99"/>
    <w:semiHidden/>
    <w:rsid w:val="005971CB"/>
    <w:rPr>
      <w:rFonts w:ascii="Times New Roman" w:eastAsia="Times New Roman" w:hAnsi="Times New Roman" w:cs="Times New Roman"/>
      <w:noProof/>
      <w:sz w:val="20"/>
      <w:szCs w:val="20"/>
      <w:lang w:val="en-GB"/>
    </w:rPr>
  </w:style>
  <w:style w:type="character" w:styleId="EndnoteReference">
    <w:name w:val="endnote reference"/>
    <w:basedOn w:val="DefaultParagraphFont"/>
    <w:uiPriority w:val="99"/>
    <w:semiHidden/>
    <w:unhideWhenUsed/>
    <w:rsid w:val="005971CB"/>
    <w:rPr>
      <w:vertAlign w:val="superscript"/>
    </w:rPr>
  </w:style>
  <w:style w:type="paragraph" w:styleId="BalloonText">
    <w:name w:val="Balloon Text"/>
    <w:basedOn w:val="Normal"/>
    <w:link w:val="BalloonTextChar"/>
    <w:uiPriority w:val="99"/>
    <w:semiHidden/>
    <w:unhideWhenUsed/>
    <w:rsid w:val="00597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CB"/>
    <w:rPr>
      <w:rFonts w:ascii="Segoe UI" w:eastAsia="Times New Roman" w:hAnsi="Segoe UI" w:cs="Segoe UI"/>
      <w:noProof/>
      <w:sz w:val="18"/>
      <w:szCs w:val="18"/>
      <w:lang w:val="en-GB"/>
    </w:rPr>
  </w:style>
  <w:style w:type="paragraph" w:styleId="Revision">
    <w:name w:val="Revision"/>
    <w:hidden/>
    <w:uiPriority w:val="99"/>
    <w:semiHidden/>
    <w:rsid w:val="000C063A"/>
    <w:pPr>
      <w:spacing w:after="0" w:line="240" w:lineRule="auto"/>
    </w:pPr>
    <w:rPr>
      <w:rFonts w:ascii="Times New Roman" w:eastAsia="Times New Roman" w:hAnsi="Times New Roman" w:cs="Times New Roman"/>
      <w:noProof/>
      <w:sz w:val="24"/>
      <w:szCs w:val="24"/>
      <w:lang w:val="en-GB"/>
    </w:rPr>
  </w:style>
  <w:style w:type="paragraph" w:styleId="FootnoteText">
    <w:name w:val="footnote text"/>
    <w:aliases w:val="Footnote Text Char Char,Fußnote,single space,footnote text,FOOTNOTES,fn,stile 1,Footnote,Footnote1,Footnote2,Footnote3,Footnote4,Footnote5,Footnote6,Footnote7,Footnote8,Footnote9,Footnote10,Footnote11,Footnote21,ALTS FOOTNOTE,ADB"/>
    <w:basedOn w:val="Normal"/>
    <w:link w:val="FootnoteTextChar"/>
    <w:uiPriority w:val="99"/>
    <w:unhideWhenUsed/>
    <w:rsid w:val="000C063A"/>
    <w:rPr>
      <w:sz w:val="20"/>
      <w:szCs w:val="20"/>
    </w:rPr>
  </w:style>
  <w:style w:type="character" w:customStyle="1" w:styleId="FootnoteTextChar">
    <w:name w:val="Footnote Text Char"/>
    <w:aliases w:val="Footnote Text Char Char Char,Fußnote Char,single space Char,footnote text Char,FOOTNOTES Char,fn Char,stile 1 Char,Footnote Char,Footnote1 Char,Footnote2 Char,Footnote3 Char,Footnote4 Char,Footnote5 Char,Footnote6 Char,Footnote7 Char"/>
    <w:basedOn w:val="DefaultParagraphFont"/>
    <w:link w:val="FootnoteText"/>
    <w:uiPriority w:val="99"/>
    <w:rsid w:val="000C063A"/>
    <w:rPr>
      <w:rFonts w:ascii="Times New Roman" w:eastAsia="Times New Roman" w:hAnsi="Times New Roman" w:cs="Times New Roman"/>
      <w:noProof/>
      <w:sz w:val="20"/>
      <w:szCs w:val="20"/>
      <w:lang w:val="en-GB"/>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BVI fnr,fr,SUPER"/>
    <w:basedOn w:val="DefaultParagraphFont"/>
    <w:link w:val="BVIfnrChar1Char"/>
    <w:uiPriority w:val="99"/>
    <w:unhideWhenUsed/>
    <w:rsid w:val="000C063A"/>
    <w:rPr>
      <w:vertAlign w:val="superscript"/>
    </w:rPr>
  </w:style>
  <w:style w:type="paragraph" w:styleId="Header">
    <w:name w:val="header"/>
    <w:basedOn w:val="Normal"/>
    <w:link w:val="HeaderChar"/>
    <w:uiPriority w:val="99"/>
    <w:unhideWhenUsed/>
    <w:rsid w:val="0051460C"/>
    <w:pPr>
      <w:tabs>
        <w:tab w:val="center" w:pos="4680"/>
        <w:tab w:val="right" w:pos="9360"/>
      </w:tabs>
    </w:pPr>
  </w:style>
  <w:style w:type="character" w:customStyle="1" w:styleId="HeaderChar">
    <w:name w:val="Header Char"/>
    <w:basedOn w:val="DefaultParagraphFont"/>
    <w:link w:val="Header"/>
    <w:uiPriority w:val="99"/>
    <w:rsid w:val="0051460C"/>
    <w:rPr>
      <w:rFonts w:ascii="Times New Roman" w:eastAsia="Times New Roman" w:hAnsi="Times New Roman" w:cs="Times New Roman"/>
      <w:noProof/>
      <w:sz w:val="24"/>
      <w:szCs w:val="24"/>
      <w:lang w:val="en-GB"/>
    </w:rPr>
  </w:style>
  <w:style w:type="paragraph" w:styleId="Footer">
    <w:name w:val="footer"/>
    <w:basedOn w:val="Normal"/>
    <w:link w:val="FooterChar"/>
    <w:uiPriority w:val="99"/>
    <w:unhideWhenUsed/>
    <w:rsid w:val="0051460C"/>
    <w:pPr>
      <w:tabs>
        <w:tab w:val="center" w:pos="4680"/>
        <w:tab w:val="right" w:pos="9360"/>
      </w:tabs>
    </w:pPr>
  </w:style>
  <w:style w:type="character" w:customStyle="1" w:styleId="FooterChar">
    <w:name w:val="Footer Char"/>
    <w:basedOn w:val="DefaultParagraphFont"/>
    <w:link w:val="Footer"/>
    <w:uiPriority w:val="99"/>
    <w:rsid w:val="0051460C"/>
    <w:rPr>
      <w:rFonts w:ascii="Times New Roman" w:eastAsia="Times New Roman" w:hAnsi="Times New Roman" w:cs="Times New Roman"/>
      <w:noProof/>
      <w:sz w:val="24"/>
      <w:szCs w:val="24"/>
      <w:lang w:val="en-GB"/>
    </w:rPr>
  </w:style>
  <w:style w:type="paragraph" w:styleId="NormalWeb">
    <w:name w:val="Normal (Web)"/>
    <w:basedOn w:val="Normal"/>
    <w:uiPriority w:val="99"/>
    <w:semiHidden/>
    <w:unhideWhenUsed/>
    <w:rsid w:val="000F4961"/>
    <w:pPr>
      <w:spacing w:before="100" w:beforeAutospacing="1" w:after="100" w:afterAutospacing="1"/>
    </w:pPr>
    <w:rPr>
      <w:noProof w:val="0"/>
      <w:lang w:val="ro-RO" w:eastAsia="ro-RO"/>
    </w:rPr>
  </w:style>
  <w:style w:type="character" w:styleId="FollowedHyperlink">
    <w:name w:val="FollowedHyperlink"/>
    <w:basedOn w:val="DefaultParagraphFont"/>
    <w:uiPriority w:val="99"/>
    <w:semiHidden/>
    <w:unhideWhenUsed/>
    <w:rsid w:val="0072363C"/>
    <w:rPr>
      <w:color w:val="800080" w:themeColor="followedHyperlink"/>
      <w:u w:val="single"/>
    </w:rPr>
  </w:style>
  <w:style w:type="character" w:styleId="Strong">
    <w:name w:val="Strong"/>
    <w:basedOn w:val="DefaultParagraphFont"/>
    <w:uiPriority w:val="22"/>
    <w:qFormat/>
    <w:rsid w:val="0072363C"/>
    <w:rPr>
      <w:b/>
      <w:bCs/>
    </w:rPr>
  </w:style>
  <w:style w:type="paragraph" w:customStyle="1" w:styleId="BVIfnrChar1Char">
    <w:name w:val="BVI fnr Char1 Char"/>
    <w:aliases w:val="Footnote Reference Number Char Char,Odwołanie przypisu Char Char,Footnote Reference_LVL6 Char Char,Footnote Reference_LVL61 Char Char,Footnote Reference_LVL62 Char Char,BVI fnr Char Char"/>
    <w:basedOn w:val="Normal"/>
    <w:next w:val="Normal"/>
    <w:link w:val="FootnoteReference"/>
    <w:uiPriority w:val="99"/>
    <w:rsid w:val="00DA1891"/>
    <w:pPr>
      <w:spacing w:after="160" w:line="240" w:lineRule="exact"/>
    </w:pPr>
    <w:rPr>
      <w:rFonts w:asciiTheme="minorHAnsi" w:eastAsiaTheme="minorHAnsi" w:hAnsiTheme="minorHAnsi" w:cstheme="minorBidi"/>
      <w:noProof w:val="0"/>
      <w:sz w:val="22"/>
      <w:szCs w:val="22"/>
      <w:vertAlign w:val="superscript"/>
      <w:lang w:val="ro-RO"/>
    </w:rPr>
  </w:style>
  <w:style w:type="character" w:customStyle="1" w:styleId="shorttext">
    <w:name w:val="short_text"/>
    <w:basedOn w:val="DefaultParagraphFont"/>
    <w:rsid w:val="00A4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AF"/>
    <w:pPr>
      <w:spacing w:after="0" w:line="240" w:lineRule="auto"/>
    </w:pPr>
    <w:rPr>
      <w:rFonts w:ascii="Times New Roman" w:eastAsia="Times New Roman" w:hAnsi="Times New Roman" w:cs="Times New Roman"/>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
    <w:basedOn w:val="Normal"/>
    <w:link w:val="ListParagraphChar"/>
    <w:uiPriority w:val="34"/>
    <w:qFormat/>
    <w:rsid w:val="00E755AF"/>
    <w:pPr>
      <w:ind w:left="720"/>
      <w:contextualSpacing/>
    </w:pPr>
  </w:style>
  <w:style w:type="character" w:styleId="Hyperlink">
    <w:name w:val="Hyperlink"/>
    <w:uiPriority w:val="99"/>
    <w:unhideWhenUsed/>
    <w:rsid w:val="00122CF7"/>
    <w:rPr>
      <w:color w:val="0000FF"/>
      <w:u w:val="single"/>
    </w:rPr>
  </w:style>
  <w:style w:type="character" w:customStyle="1" w:styleId="ListParagraphChar">
    <w:name w:val="List Paragraph Char"/>
    <w:aliases w:val="Normal bullet 2 Char,body 2 Char,List Paragraph1 Char"/>
    <w:link w:val="ListParagraph"/>
    <w:uiPriority w:val="34"/>
    <w:locked/>
    <w:rsid w:val="00122CF7"/>
    <w:rPr>
      <w:rFonts w:ascii="Times New Roman" w:eastAsia="Times New Roman" w:hAnsi="Times New Roman" w:cs="Times New Roman"/>
      <w:noProof/>
      <w:sz w:val="24"/>
      <w:szCs w:val="24"/>
      <w:lang w:val="en-GB"/>
    </w:rPr>
  </w:style>
  <w:style w:type="character" w:customStyle="1" w:styleId="hps">
    <w:name w:val="hps"/>
    <w:rsid w:val="00937A28"/>
  </w:style>
  <w:style w:type="character" w:customStyle="1" w:styleId="tpa1">
    <w:name w:val="tpa1"/>
    <w:basedOn w:val="DefaultParagraphFont"/>
    <w:rsid w:val="00937A28"/>
  </w:style>
  <w:style w:type="character" w:customStyle="1" w:styleId="tli1">
    <w:name w:val="tli1"/>
    <w:rsid w:val="00937A28"/>
  </w:style>
  <w:style w:type="character" w:customStyle="1" w:styleId="tal1">
    <w:name w:val="tal1"/>
    <w:rsid w:val="00937A28"/>
  </w:style>
  <w:style w:type="paragraph" w:customStyle="1" w:styleId="Default">
    <w:name w:val="Default"/>
    <w:rsid w:val="00A066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E679FF"/>
    <w:pPr>
      <w:spacing w:before="100" w:beforeAutospacing="1" w:after="100" w:afterAutospacing="1"/>
    </w:pPr>
    <w:rPr>
      <w:noProof w:val="0"/>
      <w:lang w:val="en-US"/>
    </w:rPr>
  </w:style>
  <w:style w:type="character" w:customStyle="1" w:styleId="PlainTextChar">
    <w:name w:val="Plain Text Char"/>
    <w:basedOn w:val="DefaultParagraphFont"/>
    <w:link w:val="PlainText"/>
    <w:uiPriority w:val="99"/>
    <w:semiHidden/>
    <w:rsid w:val="00E679FF"/>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679FF"/>
  </w:style>
  <w:style w:type="paragraph" w:styleId="EndnoteText">
    <w:name w:val="endnote text"/>
    <w:basedOn w:val="Normal"/>
    <w:link w:val="EndnoteTextChar"/>
    <w:uiPriority w:val="99"/>
    <w:semiHidden/>
    <w:unhideWhenUsed/>
    <w:rsid w:val="005971CB"/>
    <w:rPr>
      <w:sz w:val="20"/>
      <w:szCs w:val="20"/>
    </w:rPr>
  </w:style>
  <w:style w:type="character" w:customStyle="1" w:styleId="EndnoteTextChar">
    <w:name w:val="Endnote Text Char"/>
    <w:basedOn w:val="DefaultParagraphFont"/>
    <w:link w:val="EndnoteText"/>
    <w:uiPriority w:val="99"/>
    <w:semiHidden/>
    <w:rsid w:val="005971CB"/>
    <w:rPr>
      <w:rFonts w:ascii="Times New Roman" w:eastAsia="Times New Roman" w:hAnsi="Times New Roman" w:cs="Times New Roman"/>
      <w:noProof/>
      <w:sz w:val="20"/>
      <w:szCs w:val="20"/>
      <w:lang w:val="en-GB"/>
    </w:rPr>
  </w:style>
  <w:style w:type="character" w:styleId="EndnoteReference">
    <w:name w:val="endnote reference"/>
    <w:basedOn w:val="DefaultParagraphFont"/>
    <w:uiPriority w:val="99"/>
    <w:semiHidden/>
    <w:unhideWhenUsed/>
    <w:rsid w:val="005971CB"/>
    <w:rPr>
      <w:vertAlign w:val="superscript"/>
    </w:rPr>
  </w:style>
  <w:style w:type="paragraph" w:styleId="BalloonText">
    <w:name w:val="Balloon Text"/>
    <w:basedOn w:val="Normal"/>
    <w:link w:val="BalloonTextChar"/>
    <w:uiPriority w:val="99"/>
    <w:semiHidden/>
    <w:unhideWhenUsed/>
    <w:rsid w:val="00597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CB"/>
    <w:rPr>
      <w:rFonts w:ascii="Segoe UI" w:eastAsia="Times New Roman" w:hAnsi="Segoe UI" w:cs="Segoe UI"/>
      <w:noProof/>
      <w:sz w:val="18"/>
      <w:szCs w:val="18"/>
      <w:lang w:val="en-GB"/>
    </w:rPr>
  </w:style>
  <w:style w:type="paragraph" w:styleId="Revision">
    <w:name w:val="Revision"/>
    <w:hidden/>
    <w:uiPriority w:val="99"/>
    <w:semiHidden/>
    <w:rsid w:val="000C063A"/>
    <w:pPr>
      <w:spacing w:after="0" w:line="240" w:lineRule="auto"/>
    </w:pPr>
    <w:rPr>
      <w:rFonts w:ascii="Times New Roman" w:eastAsia="Times New Roman" w:hAnsi="Times New Roman" w:cs="Times New Roman"/>
      <w:noProof/>
      <w:sz w:val="24"/>
      <w:szCs w:val="24"/>
      <w:lang w:val="en-GB"/>
    </w:rPr>
  </w:style>
  <w:style w:type="paragraph" w:styleId="FootnoteText">
    <w:name w:val="footnote text"/>
    <w:aliases w:val="Footnote Text Char Char,Fußnote,single space,footnote text,FOOTNOTES,fn,stile 1,Footnote,Footnote1,Footnote2,Footnote3,Footnote4,Footnote5,Footnote6,Footnote7,Footnote8,Footnote9,Footnote10,Footnote11,Footnote21,ALTS FOOTNOTE,ADB"/>
    <w:basedOn w:val="Normal"/>
    <w:link w:val="FootnoteTextChar"/>
    <w:uiPriority w:val="99"/>
    <w:unhideWhenUsed/>
    <w:rsid w:val="000C063A"/>
    <w:rPr>
      <w:sz w:val="20"/>
      <w:szCs w:val="20"/>
    </w:rPr>
  </w:style>
  <w:style w:type="character" w:customStyle="1" w:styleId="FootnoteTextChar">
    <w:name w:val="Footnote Text Char"/>
    <w:aliases w:val="Footnote Text Char Char Char,Fußnote Char,single space Char,footnote text Char,FOOTNOTES Char,fn Char,stile 1 Char,Footnote Char,Footnote1 Char,Footnote2 Char,Footnote3 Char,Footnote4 Char,Footnote5 Char,Footnote6 Char,Footnote7 Char"/>
    <w:basedOn w:val="DefaultParagraphFont"/>
    <w:link w:val="FootnoteText"/>
    <w:uiPriority w:val="99"/>
    <w:rsid w:val="000C063A"/>
    <w:rPr>
      <w:rFonts w:ascii="Times New Roman" w:eastAsia="Times New Roman" w:hAnsi="Times New Roman" w:cs="Times New Roman"/>
      <w:noProof/>
      <w:sz w:val="20"/>
      <w:szCs w:val="20"/>
      <w:lang w:val="en-GB"/>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BVI fnr,fr,SUPER"/>
    <w:basedOn w:val="DefaultParagraphFont"/>
    <w:link w:val="BVIfnrChar1Char"/>
    <w:uiPriority w:val="99"/>
    <w:unhideWhenUsed/>
    <w:rsid w:val="000C063A"/>
    <w:rPr>
      <w:vertAlign w:val="superscript"/>
    </w:rPr>
  </w:style>
  <w:style w:type="paragraph" w:styleId="Header">
    <w:name w:val="header"/>
    <w:basedOn w:val="Normal"/>
    <w:link w:val="HeaderChar"/>
    <w:uiPriority w:val="99"/>
    <w:unhideWhenUsed/>
    <w:rsid w:val="0051460C"/>
    <w:pPr>
      <w:tabs>
        <w:tab w:val="center" w:pos="4680"/>
        <w:tab w:val="right" w:pos="9360"/>
      </w:tabs>
    </w:pPr>
  </w:style>
  <w:style w:type="character" w:customStyle="1" w:styleId="HeaderChar">
    <w:name w:val="Header Char"/>
    <w:basedOn w:val="DefaultParagraphFont"/>
    <w:link w:val="Header"/>
    <w:uiPriority w:val="99"/>
    <w:rsid w:val="0051460C"/>
    <w:rPr>
      <w:rFonts w:ascii="Times New Roman" w:eastAsia="Times New Roman" w:hAnsi="Times New Roman" w:cs="Times New Roman"/>
      <w:noProof/>
      <w:sz w:val="24"/>
      <w:szCs w:val="24"/>
      <w:lang w:val="en-GB"/>
    </w:rPr>
  </w:style>
  <w:style w:type="paragraph" w:styleId="Footer">
    <w:name w:val="footer"/>
    <w:basedOn w:val="Normal"/>
    <w:link w:val="FooterChar"/>
    <w:uiPriority w:val="99"/>
    <w:unhideWhenUsed/>
    <w:rsid w:val="0051460C"/>
    <w:pPr>
      <w:tabs>
        <w:tab w:val="center" w:pos="4680"/>
        <w:tab w:val="right" w:pos="9360"/>
      </w:tabs>
    </w:pPr>
  </w:style>
  <w:style w:type="character" w:customStyle="1" w:styleId="FooterChar">
    <w:name w:val="Footer Char"/>
    <w:basedOn w:val="DefaultParagraphFont"/>
    <w:link w:val="Footer"/>
    <w:uiPriority w:val="99"/>
    <w:rsid w:val="0051460C"/>
    <w:rPr>
      <w:rFonts w:ascii="Times New Roman" w:eastAsia="Times New Roman" w:hAnsi="Times New Roman" w:cs="Times New Roman"/>
      <w:noProof/>
      <w:sz w:val="24"/>
      <w:szCs w:val="24"/>
      <w:lang w:val="en-GB"/>
    </w:rPr>
  </w:style>
  <w:style w:type="paragraph" w:styleId="NormalWeb">
    <w:name w:val="Normal (Web)"/>
    <w:basedOn w:val="Normal"/>
    <w:uiPriority w:val="99"/>
    <w:semiHidden/>
    <w:unhideWhenUsed/>
    <w:rsid w:val="000F4961"/>
    <w:pPr>
      <w:spacing w:before="100" w:beforeAutospacing="1" w:after="100" w:afterAutospacing="1"/>
    </w:pPr>
    <w:rPr>
      <w:noProof w:val="0"/>
      <w:lang w:val="ro-RO" w:eastAsia="ro-RO"/>
    </w:rPr>
  </w:style>
  <w:style w:type="character" w:styleId="FollowedHyperlink">
    <w:name w:val="FollowedHyperlink"/>
    <w:basedOn w:val="DefaultParagraphFont"/>
    <w:uiPriority w:val="99"/>
    <w:semiHidden/>
    <w:unhideWhenUsed/>
    <w:rsid w:val="0072363C"/>
    <w:rPr>
      <w:color w:val="800080" w:themeColor="followedHyperlink"/>
      <w:u w:val="single"/>
    </w:rPr>
  </w:style>
  <w:style w:type="character" w:styleId="Strong">
    <w:name w:val="Strong"/>
    <w:basedOn w:val="DefaultParagraphFont"/>
    <w:uiPriority w:val="22"/>
    <w:qFormat/>
    <w:rsid w:val="0072363C"/>
    <w:rPr>
      <w:b/>
      <w:bCs/>
    </w:rPr>
  </w:style>
  <w:style w:type="paragraph" w:customStyle="1" w:styleId="BVIfnrChar1Char">
    <w:name w:val="BVI fnr Char1 Char"/>
    <w:aliases w:val="Footnote Reference Number Char Char,Odwołanie przypisu Char Char,Footnote Reference_LVL6 Char Char,Footnote Reference_LVL61 Char Char,Footnote Reference_LVL62 Char Char,BVI fnr Char Char"/>
    <w:basedOn w:val="Normal"/>
    <w:next w:val="Normal"/>
    <w:link w:val="FootnoteReference"/>
    <w:uiPriority w:val="99"/>
    <w:rsid w:val="00DA1891"/>
    <w:pPr>
      <w:spacing w:after="160" w:line="240" w:lineRule="exact"/>
    </w:pPr>
    <w:rPr>
      <w:rFonts w:asciiTheme="minorHAnsi" w:eastAsiaTheme="minorHAnsi" w:hAnsiTheme="minorHAnsi" w:cstheme="minorBidi"/>
      <w:noProof w:val="0"/>
      <w:sz w:val="22"/>
      <w:szCs w:val="22"/>
      <w:vertAlign w:val="superscript"/>
      <w:lang w:val="ro-RO"/>
    </w:rPr>
  </w:style>
  <w:style w:type="character" w:customStyle="1" w:styleId="shorttext">
    <w:name w:val="short_text"/>
    <w:basedOn w:val="DefaultParagraphFont"/>
    <w:rsid w:val="00A4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142">
      <w:bodyDiv w:val="1"/>
      <w:marLeft w:val="0"/>
      <w:marRight w:val="0"/>
      <w:marTop w:val="0"/>
      <w:marBottom w:val="0"/>
      <w:divBdr>
        <w:top w:val="none" w:sz="0" w:space="0" w:color="auto"/>
        <w:left w:val="none" w:sz="0" w:space="0" w:color="auto"/>
        <w:bottom w:val="none" w:sz="0" w:space="0" w:color="auto"/>
        <w:right w:val="none" w:sz="0" w:space="0" w:color="auto"/>
      </w:divBdr>
      <w:divsChild>
        <w:div w:id="661323990">
          <w:marLeft w:val="0"/>
          <w:marRight w:val="0"/>
          <w:marTop w:val="0"/>
          <w:marBottom w:val="0"/>
          <w:divBdr>
            <w:top w:val="none" w:sz="0" w:space="0" w:color="auto"/>
            <w:left w:val="none" w:sz="0" w:space="0" w:color="auto"/>
            <w:bottom w:val="none" w:sz="0" w:space="0" w:color="auto"/>
            <w:right w:val="none" w:sz="0" w:space="0" w:color="auto"/>
          </w:divBdr>
          <w:divsChild>
            <w:div w:id="1660841242">
              <w:marLeft w:val="0"/>
              <w:marRight w:val="0"/>
              <w:marTop w:val="0"/>
              <w:marBottom w:val="0"/>
              <w:divBdr>
                <w:top w:val="none" w:sz="0" w:space="0" w:color="auto"/>
                <w:left w:val="none" w:sz="0" w:space="0" w:color="auto"/>
                <w:bottom w:val="none" w:sz="0" w:space="0" w:color="auto"/>
                <w:right w:val="none" w:sz="0" w:space="0" w:color="auto"/>
              </w:divBdr>
              <w:divsChild>
                <w:div w:id="137303277">
                  <w:marLeft w:val="0"/>
                  <w:marRight w:val="0"/>
                  <w:marTop w:val="0"/>
                  <w:marBottom w:val="0"/>
                  <w:divBdr>
                    <w:top w:val="none" w:sz="0" w:space="0" w:color="auto"/>
                    <w:left w:val="none" w:sz="0" w:space="0" w:color="auto"/>
                    <w:bottom w:val="none" w:sz="0" w:space="0" w:color="auto"/>
                    <w:right w:val="none" w:sz="0" w:space="0" w:color="auto"/>
                  </w:divBdr>
                  <w:divsChild>
                    <w:div w:id="1148280939">
                      <w:marLeft w:val="0"/>
                      <w:marRight w:val="0"/>
                      <w:marTop w:val="0"/>
                      <w:marBottom w:val="0"/>
                      <w:divBdr>
                        <w:top w:val="none" w:sz="0" w:space="0" w:color="auto"/>
                        <w:left w:val="none" w:sz="0" w:space="0" w:color="auto"/>
                        <w:bottom w:val="none" w:sz="0" w:space="0" w:color="auto"/>
                        <w:right w:val="none" w:sz="0" w:space="0" w:color="auto"/>
                      </w:divBdr>
                      <w:divsChild>
                        <w:div w:id="1350906555">
                          <w:marLeft w:val="0"/>
                          <w:marRight w:val="0"/>
                          <w:marTop w:val="0"/>
                          <w:marBottom w:val="0"/>
                          <w:divBdr>
                            <w:top w:val="none" w:sz="0" w:space="0" w:color="auto"/>
                            <w:left w:val="none" w:sz="0" w:space="0" w:color="auto"/>
                            <w:bottom w:val="none" w:sz="0" w:space="0" w:color="auto"/>
                            <w:right w:val="none" w:sz="0" w:space="0" w:color="auto"/>
                          </w:divBdr>
                          <w:divsChild>
                            <w:div w:id="1492327948">
                              <w:marLeft w:val="0"/>
                              <w:marRight w:val="0"/>
                              <w:marTop w:val="0"/>
                              <w:marBottom w:val="0"/>
                              <w:divBdr>
                                <w:top w:val="none" w:sz="0" w:space="0" w:color="auto"/>
                                <w:left w:val="none" w:sz="0" w:space="0" w:color="auto"/>
                                <w:bottom w:val="none" w:sz="0" w:space="0" w:color="auto"/>
                                <w:right w:val="none" w:sz="0" w:space="0" w:color="auto"/>
                              </w:divBdr>
                              <w:divsChild>
                                <w:div w:id="487675492">
                                  <w:marLeft w:val="0"/>
                                  <w:marRight w:val="0"/>
                                  <w:marTop w:val="0"/>
                                  <w:marBottom w:val="0"/>
                                  <w:divBdr>
                                    <w:top w:val="none" w:sz="0" w:space="0" w:color="auto"/>
                                    <w:left w:val="none" w:sz="0" w:space="0" w:color="auto"/>
                                    <w:bottom w:val="none" w:sz="0" w:space="0" w:color="auto"/>
                                    <w:right w:val="none" w:sz="0" w:space="0" w:color="auto"/>
                                  </w:divBdr>
                                  <w:divsChild>
                                    <w:div w:id="821891604">
                                      <w:marLeft w:val="60"/>
                                      <w:marRight w:val="0"/>
                                      <w:marTop w:val="0"/>
                                      <w:marBottom w:val="0"/>
                                      <w:divBdr>
                                        <w:top w:val="none" w:sz="0" w:space="0" w:color="auto"/>
                                        <w:left w:val="none" w:sz="0" w:space="0" w:color="auto"/>
                                        <w:bottom w:val="none" w:sz="0" w:space="0" w:color="auto"/>
                                        <w:right w:val="none" w:sz="0" w:space="0" w:color="auto"/>
                                      </w:divBdr>
                                      <w:divsChild>
                                        <w:div w:id="2123500759">
                                          <w:marLeft w:val="0"/>
                                          <w:marRight w:val="0"/>
                                          <w:marTop w:val="0"/>
                                          <w:marBottom w:val="0"/>
                                          <w:divBdr>
                                            <w:top w:val="none" w:sz="0" w:space="0" w:color="auto"/>
                                            <w:left w:val="none" w:sz="0" w:space="0" w:color="auto"/>
                                            <w:bottom w:val="none" w:sz="0" w:space="0" w:color="auto"/>
                                            <w:right w:val="none" w:sz="0" w:space="0" w:color="auto"/>
                                          </w:divBdr>
                                          <w:divsChild>
                                            <w:div w:id="281962913">
                                              <w:marLeft w:val="0"/>
                                              <w:marRight w:val="0"/>
                                              <w:marTop w:val="0"/>
                                              <w:marBottom w:val="120"/>
                                              <w:divBdr>
                                                <w:top w:val="single" w:sz="6" w:space="0" w:color="F5F5F5"/>
                                                <w:left w:val="single" w:sz="6" w:space="0" w:color="F5F5F5"/>
                                                <w:bottom w:val="single" w:sz="6" w:space="0" w:color="F5F5F5"/>
                                                <w:right w:val="single" w:sz="6" w:space="0" w:color="F5F5F5"/>
                                              </w:divBdr>
                                              <w:divsChild>
                                                <w:div w:id="1230311372">
                                                  <w:marLeft w:val="0"/>
                                                  <w:marRight w:val="0"/>
                                                  <w:marTop w:val="0"/>
                                                  <w:marBottom w:val="0"/>
                                                  <w:divBdr>
                                                    <w:top w:val="none" w:sz="0" w:space="0" w:color="auto"/>
                                                    <w:left w:val="none" w:sz="0" w:space="0" w:color="auto"/>
                                                    <w:bottom w:val="none" w:sz="0" w:space="0" w:color="auto"/>
                                                    <w:right w:val="none" w:sz="0" w:space="0" w:color="auto"/>
                                                  </w:divBdr>
                                                  <w:divsChild>
                                                    <w:div w:id="171459707">
                                                      <w:marLeft w:val="0"/>
                                                      <w:marRight w:val="0"/>
                                                      <w:marTop w:val="0"/>
                                                      <w:marBottom w:val="0"/>
                                                      <w:divBdr>
                                                        <w:top w:val="none" w:sz="0" w:space="0" w:color="auto"/>
                                                        <w:left w:val="none" w:sz="0" w:space="0" w:color="auto"/>
                                                        <w:bottom w:val="none" w:sz="0" w:space="0" w:color="auto"/>
                                                        <w:right w:val="none" w:sz="0" w:space="0" w:color="auto"/>
                                                      </w:divBdr>
                                                    </w:div>
                                                  </w:divsChild>
                                                </w:div>
                                                <w:div w:id="1284655420">
                                                  <w:marLeft w:val="0"/>
                                                  <w:marRight w:val="0"/>
                                                  <w:marTop w:val="0"/>
                                                  <w:marBottom w:val="0"/>
                                                  <w:divBdr>
                                                    <w:top w:val="none" w:sz="0" w:space="0" w:color="auto"/>
                                                    <w:left w:val="none" w:sz="0" w:space="0" w:color="auto"/>
                                                    <w:bottom w:val="none" w:sz="0" w:space="0" w:color="auto"/>
                                                    <w:right w:val="none" w:sz="0" w:space="0" w:color="auto"/>
                                                  </w:divBdr>
                                                  <w:divsChild>
                                                    <w:div w:id="600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408051">
      <w:bodyDiv w:val="1"/>
      <w:marLeft w:val="0"/>
      <w:marRight w:val="0"/>
      <w:marTop w:val="0"/>
      <w:marBottom w:val="0"/>
      <w:divBdr>
        <w:top w:val="none" w:sz="0" w:space="0" w:color="auto"/>
        <w:left w:val="none" w:sz="0" w:space="0" w:color="auto"/>
        <w:bottom w:val="none" w:sz="0" w:space="0" w:color="auto"/>
        <w:right w:val="none" w:sz="0" w:space="0" w:color="auto"/>
      </w:divBdr>
      <w:divsChild>
        <w:div w:id="1668962">
          <w:marLeft w:val="0"/>
          <w:marRight w:val="0"/>
          <w:marTop w:val="0"/>
          <w:marBottom w:val="0"/>
          <w:divBdr>
            <w:top w:val="none" w:sz="0" w:space="0" w:color="auto"/>
            <w:left w:val="none" w:sz="0" w:space="0" w:color="auto"/>
            <w:bottom w:val="none" w:sz="0" w:space="0" w:color="auto"/>
            <w:right w:val="none" w:sz="0" w:space="0" w:color="auto"/>
          </w:divBdr>
          <w:divsChild>
            <w:div w:id="1051880586">
              <w:marLeft w:val="0"/>
              <w:marRight w:val="0"/>
              <w:marTop w:val="0"/>
              <w:marBottom w:val="0"/>
              <w:divBdr>
                <w:top w:val="none" w:sz="0" w:space="0" w:color="auto"/>
                <w:left w:val="none" w:sz="0" w:space="0" w:color="auto"/>
                <w:bottom w:val="none" w:sz="0" w:space="0" w:color="auto"/>
                <w:right w:val="none" w:sz="0" w:space="0" w:color="auto"/>
              </w:divBdr>
              <w:divsChild>
                <w:div w:id="251161499">
                  <w:marLeft w:val="0"/>
                  <w:marRight w:val="0"/>
                  <w:marTop w:val="0"/>
                  <w:marBottom w:val="0"/>
                  <w:divBdr>
                    <w:top w:val="none" w:sz="0" w:space="0" w:color="auto"/>
                    <w:left w:val="none" w:sz="0" w:space="0" w:color="auto"/>
                    <w:bottom w:val="none" w:sz="0" w:space="0" w:color="auto"/>
                    <w:right w:val="none" w:sz="0" w:space="0" w:color="auto"/>
                  </w:divBdr>
                  <w:divsChild>
                    <w:div w:id="322782443">
                      <w:marLeft w:val="0"/>
                      <w:marRight w:val="0"/>
                      <w:marTop w:val="0"/>
                      <w:marBottom w:val="0"/>
                      <w:divBdr>
                        <w:top w:val="none" w:sz="0" w:space="0" w:color="auto"/>
                        <w:left w:val="none" w:sz="0" w:space="0" w:color="auto"/>
                        <w:bottom w:val="none" w:sz="0" w:space="0" w:color="auto"/>
                        <w:right w:val="none" w:sz="0" w:space="0" w:color="auto"/>
                      </w:divBdr>
                      <w:divsChild>
                        <w:div w:id="1429959385">
                          <w:marLeft w:val="0"/>
                          <w:marRight w:val="0"/>
                          <w:marTop w:val="0"/>
                          <w:marBottom w:val="0"/>
                          <w:divBdr>
                            <w:top w:val="none" w:sz="0" w:space="0" w:color="auto"/>
                            <w:left w:val="none" w:sz="0" w:space="0" w:color="auto"/>
                            <w:bottom w:val="none" w:sz="0" w:space="0" w:color="auto"/>
                            <w:right w:val="none" w:sz="0" w:space="0" w:color="auto"/>
                          </w:divBdr>
                          <w:divsChild>
                            <w:div w:id="100027650">
                              <w:marLeft w:val="0"/>
                              <w:marRight w:val="0"/>
                              <w:marTop w:val="0"/>
                              <w:marBottom w:val="0"/>
                              <w:divBdr>
                                <w:top w:val="none" w:sz="0" w:space="0" w:color="auto"/>
                                <w:left w:val="none" w:sz="0" w:space="0" w:color="auto"/>
                                <w:bottom w:val="none" w:sz="0" w:space="0" w:color="auto"/>
                                <w:right w:val="none" w:sz="0" w:space="0" w:color="auto"/>
                              </w:divBdr>
                              <w:divsChild>
                                <w:div w:id="340932025">
                                  <w:marLeft w:val="0"/>
                                  <w:marRight w:val="0"/>
                                  <w:marTop w:val="0"/>
                                  <w:marBottom w:val="0"/>
                                  <w:divBdr>
                                    <w:top w:val="none" w:sz="0" w:space="0" w:color="auto"/>
                                    <w:left w:val="none" w:sz="0" w:space="0" w:color="auto"/>
                                    <w:bottom w:val="none" w:sz="0" w:space="0" w:color="auto"/>
                                    <w:right w:val="none" w:sz="0" w:space="0" w:color="auto"/>
                                  </w:divBdr>
                                  <w:divsChild>
                                    <w:div w:id="2051494278">
                                      <w:marLeft w:val="60"/>
                                      <w:marRight w:val="0"/>
                                      <w:marTop w:val="0"/>
                                      <w:marBottom w:val="0"/>
                                      <w:divBdr>
                                        <w:top w:val="none" w:sz="0" w:space="0" w:color="auto"/>
                                        <w:left w:val="none" w:sz="0" w:space="0" w:color="auto"/>
                                        <w:bottom w:val="none" w:sz="0" w:space="0" w:color="auto"/>
                                        <w:right w:val="none" w:sz="0" w:space="0" w:color="auto"/>
                                      </w:divBdr>
                                      <w:divsChild>
                                        <w:div w:id="1911765126">
                                          <w:marLeft w:val="0"/>
                                          <w:marRight w:val="0"/>
                                          <w:marTop w:val="0"/>
                                          <w:marBottom w:val="0"/>
                                          <w:divBdr>
                                            <w:top w:val="none" w:sz="0" w:space="0" w:color="auto"/>
                                            <w:left w:val="none" w:sz="0" w:space="0" w:color="auto"/>
                                            <w:bottom w:val="none" w:sz="0" w:space="0" w:color="auto"/>
                                            <w:right w:val="none" w:sz="0" w:space="0" w:color="auto"/>
                                          </w:divBdr>
                                          <w:divsChild>
                                            <w:div w:id="521237982">
                                              <w:marLeft w:val="0"/>
                                              <w:marRight w:val="0"/>
                                              <w:marTop w:val="0"/>
                                              <w:marBottom w:val="120"/>
                                              <w:divBdr>
                                                <w:top w:val="single" w:sz="6" w:space="0" w:color="F5F5F5"/>
                                                <w:left w:val="single" w:sz="6" w:space="0" w:color="F5F5F5"/>
                                                <w:bottom w:val="single" w:sz="6" w:space="0" w:color="F5F5F5"/>
                                                <w:right w:val="single" w:sz="6" w:space="0" w:color="F5F5F5"/>
                                              </w:divBdr>
                                              <w:divsChild>
                                                <w:div w:id="987511348">
                                                  <w:marLeft w:val="0"/>
                                                  <w:marRight w:val="0"/>
                                                  <w:marTop w:val="0"/>
                                                  <w:marBottom w:val="0"/>
                                                  <w:divBdr>
                                                    <w:top w:val="none" w:sz="0" w:space="0" w:color="auto"/>
                                                    <w:left w:val="none" w:sz="0" w:space="0" w:color="auto"/>
                                                    <w:bottom w:val="none" w:sz="0" w:space="0" w:color="auto"/>
                                                    <w:right w:val="none" w:sz="0" w:space="0" w:color="auto"/>
                                                  </w:divBdr>
                                                  <w:divsChild>
                                                    <w:div w:id="260839047">
                                                      <w:marLeft w:val="0"/>
                                                      <w:marRight w:val="0"/>
                                                      <w:marTop w:val="0"/>
                                                      <w:marBottom w:val="0"/>
                                                      <w:divBdr>
                                                        <w:top w:val="none" w:sz="0" w:space="0" w:color="auto"/>
                                                        <w:left w:val="none" w:sz="0" w:space="0" w:color="auto"/>
                                                        <w:bottom w:val="none" w:sz="0" w:space="0" w:color="auto"/>
                                                        <w:right w:val="none" w:sz="0" w:space="0" w:color="auto"/>
                                                      </w:divBdr>
                                                    </w:div>
                                                  </w:divsChild>
                                                </w:div>
                                                <w:div w:id="2129154965">
                                                  <w:marLeft w:val="0"/>
                                                  <w:marRight w:val="0"/>
                                                  <w:marTop w:val="0"/>
                                                  <w:marBottom w:val="0"/>
                                                  <w:divBdr>
                                                    <w:top w:val="none" w:sz="0" w:space="0" w:color="auto"/>
                                                    <w:left w:val="none" w:sz="0" w:space="0" w:color="auto"/>
                                                    <w:bottom w:val="none" w:sz="0" w:space="0" w:color="auto"/>
                                                    <w:right w:val="none" w:sz="0" w:space="0" w:color="auto"/>
                                                  </w:divBdr>
                                                  <w:divsChild>
                                                    <w:div w:id="819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877001">
      <w:bodyDiv w:val="1"/>
      <w:marLeft w:val="0"/>
      <w:marRight w:val="0"/>
      <w:marTop w:val="0"/>
      <w:marBottom w:val="0"/>
      <w:divBdr>
        <w:top w:val="none" w:sz="0" w:space="0" w:color="auto"/>
        <w:left w:val="none" w:sz="0" w:space="0" w:color="auto"/>
        <w:bottom w:val="none" w:sz="0" w:space="0" w:color="auto"/>
        <w:right w:val="none" w:sz="0" w:space="0" w:color="auto"/>
      </w:divBdr>
    </w:div>
    <w:div w:id="1766880421">
      <w:bodyDiv w:val="1"/>
      <w:marLeft w:val="0"/>
      <w:marRight w:val="0"/>
      <w:marTop w:val="0"/>
      <w:marBottom w:val="0"/>
      <w:divBdr>
        <w:top w:val="none" w:sz="0" w:space="0" w:color="auto"/>
        <w:left w:val="none" w:sz="0" w:space="0" w:color="auto"/>
        <w:bottom w:val="none" w:sz="0" w:space="0" w:color="auto"/>
        <w:right w:val="none" w:sz="0" w:space="0" w:color="auto"/>
      </w:divBdr>
      <w:divsChild>
        <w:div w:id="159466143">
          <w:marLeft w:val="0"/>
          <w:marRight w:val="0"/>
          <w:marTop w:val="0"/>
          <w:marBottom w:val="0"/>
          <w:divBdr>
            <w:top w:val="none" w:sz="0" w:space="0" w:color="auto"/>
            <w:left w:val="none" w:sz="0" w:space="0" w:color="auto"/>
            <w:bottom w:val="none" w:sz="0" w:space="0" w:color="auto"/>
            <w:right w:val="none" w:sz="0" w:space="0" w:color="auto"/>
          </w:divBdr>
          <w:divsChild>
            <w:div w:id="2071076463">
              <w:marLeft w:val="0"/>
              <w:marRight w:val="0"/>
              <w:marTop w:val="0"/>
              <w:marBottom w:val="0"/>
              <w:divBdr>
                <w:top w:val="none" w:sz="0" w:space="0" w:color="auto"/>
                <w:left w:val="none" w:sz="0" w:space="0" w:color="auto"/>
                <w:bottom w:val="none" w:sz="0" w:space="0" w:color="auto"/>
                <w:right w:val="none" w:sz="0" w:space="0" w:color="auto"/>
              </w:divBdr>
              <w:divsChild>
                <w:div w:id="1109853741">
                  <w:marLeft w:val="0"/>
                  <w:marRight w:val="0"/>
                  <w:marTop w:val="0"/>
                  <w:marBottom w:val="0"/>
                  <w:divBdr>
                    <w:top w:val="none" w:sz="0" w:space="0" w:color="auto"/>
                    <w:left w:val="none" w:sz="0" w:space="0" w:color="auto"/>
                    <w:bottom w:val="none" w:sz="0" w:space="0" w:color="auto"/>
                    <w:right w:val="none" w:sz="0" w:space="0" w:color="auto"/>
                  </w:divBdr>
                  <w:divsChild>
                    <w:div w:id="609511647">
                      <w:marLeft w:val="0"/>
                      <w:marRight w:val="0"/>
                      <w:marTop w:val="0"/>
                      <w:marBottom w:val="0"/>
                      <w:divBdr>
                        <w:top w:val="none" w:sz="0" w:space="0" w:color="auto"/>
                        <w:left w:val="none" w:sz="0" w:space="0" w:color="auto"/>
                        <w:bottom w:val="none" w:sz="0" w:space="0" w:color="auto"/>
                        <w:right w:val="none" w:sz="0" w:space="0" w:color="auto"/>
                      </w:divBdr>
                      <w:divsChild>
                        <w:div w:id="3773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spers-europa-info.org/attachments/article/129/JASPERS_EIA_Guidelines_2010_WAS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spers-europa-info.org/attachments/article/129/JASPERS_EIA_Guidelines_2010_FLOO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pm.ro/acordul-de-medi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spers-europa-info.org/attachments/article/129/JASPERS_EIA_Guidelines_2010_WASTEWATER.pdf" TargetMode="External"/><Relationship Id="rId5" Type="http://schemas.openxmlformats.org/officeDocument/2006/relationships/settings" Target="settings.xml"/><Relationship Id="rId15" Type="http://schemas.openxmlformats.org/officeDocument/2006/relationships/hyperlink" Target="http://www.jaspers-europa-info.org/attachments/article/129/JASPERS_EIA_Guidelines_2010_RAILS.pdf" TargetMode="External"/><Relationship Id="rId10" Type="http://schemas.openxmlformats.org/officeDocument/2006/relationships/hyperlink" Target="http://www.jaspers-europa-info.org/attachments/article/129/JASPERS_EIA_Guidelines_2010_WATER_SUPPLY.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aspers-europa-info.org/attachments/article/129/JASPERS_EIA_Guidelines_2010_RO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01D8-0DDF-4141-8B92-453A1CF2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Liliana Iliuta</dc:creator>
  <cp:lastModifiedBy>Luiza RADU</cp:lastModifiedBy>
  <cp:revision>2</cp:revision>
  <cp:lastPrinted>2015-04-20T10:52:00Z</cp:lastPrinted>
  <dcterms:created xsi:type="dcterms:W3CDTF">2016-01-07T16:53:00Z</dcterms:created>
  <dcterms:modified xsi:type="dcterms:W3CDTF">2016-01-07T16:53:00Z</dcterms:modified>
</cp:coreProperties>
</file>